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9EF5" w14:textId="77777777" w:rsidR="00870B62" w:rsidRDefault="00870B62" w:rsidP="002C09D5">
      <w:pPr>
        <w:tabs>
          <w:tab w:val="left" w:pos="5103"/>
        </w:tabs>
        <w:ind w:left="-284"/>
        <w:rPr>
          <w:rFonts w:cs="Arial"/>
        </w:rPr>
      </w:pPr>
    </w:p>
    <w:tbl>
      <w:tblPr>
        <w:tblStyle w:val="Tabellenraster"/>
        <w:tblW w:w="8557" w:type="dxa"/>
        <w:jc w:val="center"/>
        <w:tblLook w:val="04A0" w:firstRow="1" w:lastRow="0" w:firstColumn="1" w:lastColumn="0" w:noHBand="0" w:noVBand="1"/>
      </w:tblPr>
      <w:tblGrid>
        <w:gridCol w:w="4644"/>
        <w:gridCol w:w="1503"/>
        <w:gridCol w:w="2410"/>
      </w:tblGrid>
      <w:tr w:rsidR="006D0009" w14:paraId="5CDA4CD9" w14:textId="77777777" w:rsidTr="00337E54">
        <w:trPr>
          <w:jc w:val="center"/>
        </w:trPr>
        <w:tc>
          <w:tcPr>
            <w:tcW w:w="8557" w:type="dxa"/>
            <w:gridSpan w:val="3"/>
          </w:tcPr>
          <w:p w14:paraId="7E4FF797" w14:textId="77777777" w:rsidR="006D0009" w:rsidRPr="006D0009" w:rsidRDefault="007C41C0" w:rsidP="000C1F4F">
            <w:pPr>
              <w:tabs>
                <w:tab w:val="left" w:pos="6379"/>
              </w:tabs>
              <w:spacing w:before="240" w:after="24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Versauerung der Meere – </w:t>
            </w:r>
            <w:r w:rsidR="00E44791">
              <w:rPr>
                <w:rFonts w:cs="Arial"/>
                <w:b/>
                <w:sz w:val="32"/>
                <w:szCs w:val="32"/>
              </w:rPr>
              <w:t>Sprudelwasserflasche</w:t>
            </w:r>
          </w:p>
        </w:tc>
      </w:tr>
      <w:tr w:rsidR="003248D8" w14:paraId="7B98EFD8" w14:textId="77777777" w:rsidTr="00337E54">
        <w:trPr>
          <w:trHeight w:val="57"/>
          <w:jc w:val="center"/>
        </w:trPr>
        <w:tc>
          <w:tcPr>
            <w:tcW w:w="8557" w:type="dxa"/>
            <w:gridSpan w:val="3"/>
            <w:shd w:val="clear" w:color="auto" w:fill="D9D9D9" w:themeFill="background1" w:themeFillShade="D9"/>
          </w:tcPr>
          <w:p w14:paraId="3DC2F760" w14:textId="77777777" w:rsidR="003248D8" w:rsidRPr="003248D8" w:rsidRDefault="003248D8" w:rsidP="000C1F4F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3248D8" w14:paraId="273C04C2" w14:textId="77777777" w:rsidTr="00337E54">
        <w:trPr>
          <w:jc w:val="center"/>
        </w:trPr>
        <w:tc>
          <w:tcPr>
            <w:tcW w:w="4644" w:type="dxa"/>
            <w:tcBorders>
              <w:right w:val="single" w:sz="4" w:space="0" w:color="FFFFFF" w:themeColor="background1"/>
            </w:tcBorders>
          </w:tcPr>
          <w:p w14:paraId="353626BC" w14:textId="77777777" w:rsidR="006D0009" w:rsidRPr="00F079D2" w:rsidRDefault="006D0009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Zielgruppe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14:paraId="7978B81C" w14:textId="77777777" w:rsidR="006D0009" w:rsidRPr="00F079D2" w:rsidRDefault="00F079D2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F079D2">
              <w:rPr>
                <w:rFonts w:cs="Arial"/>
                <w:i/>
              </w:rPr>
              <w:t>8.-12. Klasse; Realschule, Gesamtschule, Gymnasium</w:t>
            </w:r>
          </w:p>
        </w:tc>
      </w:tr>
      <w:tr w:rsidR="006D0009" w14:paraId="1838F045" w14:textId="77777777" w:rsidTr="00337E54">
        <w:trPr>
          <w:jc w:val="center"/>
        </w:trPr>
        <w:tc>
          <w:tcPr>
            <w:tcW w:w="4644" w:type="dxa"/>
            <w:tcBorders>
              <w:right w:val="single" w:sz="4" w:space="0" w:color="FFFFFF" w:themeColor="background1"/>
            </w:tcBorders>
          </w:tcPr>
          <w:p w14:paraId="448F403F" w14:textId="77777777" w:rsidR="006D0009" w:rsidRPr="00F079D2" w:rsidRDefault="006D0009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Unterrichtsfach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14:paraId="46A08C73" w14:textId="77777777" w:rsidR="006D0009" w:rsidRPr="00F079D2" w:rsidRDefault="00F079D2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F079D2">
              <w:rPr>
                <w:rFonts w:cs="Arial"/>
                <w:i/>
              </w:rPr>
              <w:t xml:space="preserve">Biologie; Chemie; </w:t>
            </w:r>
          </w:p>
        </w:tc>
      </w:tr>
      <w:tr w:rsidR="006D0009" w14:paraId="1DE9C00A" w14:textId="77777777" w:rsidTr="00337E54">
        <w:trPr>
          <w:jc w:val="center"/>
        </w:trPr>
        <w:tc>
          <w:tcPr>
            <w:tcW w:w="4644" w:type="dxa"/>
            <w:tcBorders>
              <w:right w:val="single" w:sz="4" w:space="0" w:color="FFFFFF" w:themeColor="background1"/>
            </w:tcBorders>
          </w:tcPr>
          <w:p w14:paraId="5B664E66" w14:textId="77777777" w:rsidR="006D0009" w:rsidRPr="00F079D2" w:rsidRDefault="00F079D2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Behandelte Themen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14:paraId="7EDA75E5" w14:textId="77777777" w:rsidR="006D0009" w:rsidRPr="00F079D2" w:rsidRDefault="00E44791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Zusammenhang zwischen Temperatur und CO</w:t>
            </w:r>
            <w:r>
              <w:rPr>
                <w:rFonts w:cs="Arial"/>
                <w:i/>
                <w:vertAlign w:val="subscript"/>
              </w:rPr>
              <w:t>2</w:t>
            </w:r>
            <w:r>
              <w:rPr>
                <w:rFonts w:cs="Arial"/>
                <w:i/>
              </w:rPr>
              <w:t>-Kapazität</w:t>
            </w:r>
            <w:r w:rsidR="00F079D2" w:rsidRPr="00F079D2">
              <w:rPr>
                <w:rFonts w:cs="Arial"/>
                <w:i/>
              </w:rPr>
              <w:t xml:space="preserve">; </w:t>
            </w:r>
            <w:r w:rsidR="00FD3DA5">
              <w:rPr>
                <w:rFonts w:cs="Arial"/>
                <w:i/>
              </w:rPr>
              <w:t>CO</w:t>
            </w:r>
            <w:r w:rsidR="00FD3DA5">
              <w:rPr>
                <w:rFonts w:cs="Arial"/>
                <w:i/>
                <w:vertAlign w:val="subscript"/>
              </w:rPr>
              <w:t>2</w:t>
            </w:r>
            <w:r w:rsidR="00FD3DA5">
              <w:rPr>
                <w:rFonts w:cs="Arial"/>
                <w:i/>
              </w:rPr>
              <w:t>-Anstieg in der Atmosphäre</w:t>
            </w:r>
            <w:r>
              <w:rPr>
                <w:rFonts w:cs="Arial"/>
                <w:i/>
              </w:rPr>
              <w:t xml:space="preserve">; </w:t>
            </w:r>
            <w:r w:rsidR="00261764">
              <w:rPr>
                <w:rFonts w:cs="Arial"/>
                <w:i/>
              </w:rPr>
              <w:t xml:space="preserve"> </w:t>
            </w:r>
          </w:p>
        </w:tc>
      </w:tr>
      <w:tr w:rsidR="00F079D2" w14:paraId="71E051AC" w14:textId="77777777" w:rsidTr="00337E54">
        <w:trPr>
          <w:jc w:val="center"/>
        </w:trPr>
        <w:tc>
          <w:tcPr>
            <w:tcW w:w="464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78FE33" w14:textId="77777777" w:rsidR="00F079D2" w:rsidRPr="00F079D2" w:rsidRDefault="00F079D2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Zeitaufwand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BCB7B4" w14:textId="77777777" w:rsidR="00F079D2" w:rsidRDefault="00F079D2" w:rsidP="000C1F4F">
            <w:pPr>
              <w:tabs>
                <w:tab w:val="left" w:pos="6379"/>
              </w:tabs>
              <w:spacing w:line="276" w:lineRule="auto"/>
              <w:rPr>
                <w:rFonts w:cs="Arial"/>
              </w:rPr>
            </w:pPr>
          </w:p>
        </w:tc>
      </w:tr>
      <w:tr w:rsidR="00F079D2" w14:paraId="23044415" w14:textId="77777777" w:rsidTr="00337E54">
        <w:trPr>
          <w:jc w:val="center"/>
        </w:trPr>
        <w:tc>
          <w:tcPr>
            <w:tcW w:w="46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A3928" w14:textId="77777777" w:rsidR="00F079D2" w:rsidRPr="00F079D2" w:rsidRDefault="00F079D2" w:rsidP="000C1F4F">
            <w:pPr>
              <w:pStyle w:val="Listenabsatz"/>
              <w:numPr>
                <w:ilvl w:val="0"/>
                <w:numId w:val="26"/>
              </w:numPr>
              <w:tabs>
                <w:tab w:val="left" w:pos="6379"/>
              </w:tabs>
              <w:spacing w:line="276" w:lineRule="auto"/>
              <w:ind w:left="567"/>
              <w:rPr>
                <w:rFonts w:cs="Arial"/>
              </w:rPr>
            </w:pPr>
            <w:r>
              <w:rPr>
                <w:rFonts w:cs="Arial"/>
              </w:rPr>
              <w:t xml:space="preserve">Durchführung </w:t>
            </w:r>
            <w:r w:rsidRPr="006D0009">
              <w:rPr>
                <w:rFonts w:cs="Arial"/>
              </w:rPr>
              <w:t>im Unterricht</w:t>
            </w:r>
          </w:p>
        </w:tc>
        <w:tc>
          <w:tcPr>
            <w:tcW w:w="39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E5F8F2C" w14:textId="77777777" w:rsidR="00F079D2" w:rsidRPr="00F079D2" w:rsidRDefault="00F079D2" w:rsidP="000C1F4F">
            <w:pPr>
              <w:pStyle w:val="Listenabsatz"/>
              <w:numPr>
                <w:ilvl w:val="0"/>
                <w:numId w:val="26"/>
              </w:numPr>
              <w:tabs>
                <w:tab w:val="left" w:pos="6379"/>
              </w:tabs>
              <w:spacing w:line="276" w:lineRule="auto"/>
              <w:ind w:left="317" w:hanging="283"/>
              <w:rPr>
                <w:rFonts w:cs="Arial"/>
                <w:i/>
              </w:rPr>
            </w:pPr>
            <w:r w:rsidRPr="00F079D2">
              <w:rPr>
                <w:rFonts w:cs="Arial"/>
                <w:i/>
              </w:rPr>
              <w:t xml:space="preserve">rd. </w:t>
            </w:r>
            <w:r w:rsidR="00E44791">
              <w:rPr>
                <w:rFonts w:cs="Arial"/>
                <w:i/>
              </w:rPr>
              <w:t>45</w:t>
            </w:r>
            <w:r w:rsidRPr="00F079D2">
              <w:rPr>
                <w:rFonts w:cs="Arial"/>
                <w:i/>
              </w:rPr>
              <w:t xml:space="preserve"> Minuten </w:t>
            </w:r>
          </w:p>
        </w:tc>
      </w:tr>
      <w:tr w:rsidR="00F079D2" w14:paraId="50AC231D" w14:textId="77777777" w:rsidTr="003B28B0">
        <w:trPr>
          <w:jc w:val="center"/>
        </w:trPr>
        <w:tc>
          <w:tcPr>
            <w:tcW w:w="464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5B49CD6" w14:textId="77777777" w:rsidR="00F079D2" w:rsidRPr="00F079D2" w:rsidRDefault="00F079D2" w:rsidP="000C1F4F">
            <w:pPr>
              <w:pStyle w:val="Listenabsatz"/>
              <w:numPr>
                <w:ilvl w:val="0"/>
                <w:numId w:val="26"/>
              </w:numPr>
              <w:tabs>
                <w:tab w:val="left" w:pos="6379"/>
              </w:tabs>
              <w:spacing w:line="276" w:lineRule="auto"/>
              <w:ind w:left="567"/>
              <w:rPr>
                <w:rFonts w:cs="Arial"/>
              </w:rPr>
            </w:pPr>
            <w:r w:rsidRPr="00FC5F8A">
              <w:rPr>
                <w:rFonts w:cs="Arial"/>
              </w:rPr>
              <w:t>Vorbereitung für die Durchführung</w:t>
            </w:r>
          </w:p>
        </w:tc>
        <w:tc>
          <w:tcPr>
            <w:tcW w:w="39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2CF1BB53" w14:textId="7C621977" w:rsidR="00F079D2" w:rsidRPr="00F079D2" w:rsidRDefault="00C33961" w:rsidP="000C1F4F">
            <w:pPr>
              <w:pStyle w:val="Listenabsatz"/>
              <w:numPr>
                <w:ilvl w:val="0"/>
                <w:numId w:val="26"/>
              </w:numPr>
              <w:tabs>
                <w:tab w:val="left" w:pos="6379"/>
              </w:tabs>
              <w:spacing w:line="276" w:lineRule="auto"/>
              <w:ind w:left="317" w:hanging="28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rd.</w:t>
            </w:r>
            <w:r w:rsidR="000717B3">
              <w:rPr>
                <w:rFonts w:cs="Arial"/>
                <w:i/>
              </w:rPr>
              <w:t xml:space="preserve"> </w:t>
            </w:r>
            <w:r w:rsidR="00E44791">
              <w:rPr>
                <w:rFonts w:cs="Arial"/>
                <w:i/>
              </w:rPr>
              <w:t>30</w:t>
            </w:r>
            <w:r w:rsidR="00F079D2" w:rsidRPr="00F079D2">
              <w:rPr>
                <w:rFonts w:cs="Arial"/>
                <w:i/>
              </w:rPr>
              <w:t xml:space="preserve"> Minuten</w:t>
            </w:r>
          </w:p>
        </w:tc>
      </w:tr>
      <w:tr w:rsidR="003B28B0" w14:paraId="77CA97A5" w14:textId="77777777" w:rsidTr="003B28B0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</w:tcPr>
          <w:p w14:paraId="1E3933E5" w14:textId="724851DB" w:rsidR="003B28B0" w:rsidRDefault="003B28B0" w:rsidP="003B28B0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Materialk</w:t>
            </w:r>
            <w:r w:rsidRPr="00F079D2">
              <w:rPr>
                <w:rFonts w:cs="Arial"/>
                <w:b/>
              </w:rPr>
              <w:t>osten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bottom"/>
          </w:tcPr>
          <w:p w14:paraId="138887B3" w14:textId="77777777" w:rsidR="003B28B0" w:rsidRDefault="003B28B0" w:rsidP="003B28B0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</w:p>
        </w:tc>
      </w:tr>
      <w:tr w:rsidR="003B28B0" w14:paraId="1D8F5F60" w14:textId="77777777" w:rsidTr="003B28B0">
        <w:trPr>
          <w:jc w:val="center"/>
        </w:trPr>
        <w:tc>
          <w:tcPr>
            <w:tcW w:w="4644" w:type="dxa"/>
            <w:tcBorders>
              <w:top w:val="nil"/>
              <w:right w:val="single" w:sz="4" w:space="0" w:color="FFFFFF" w:themeColor="background1"/>
            </w:tcBorders>
          </w:tcPr>
          <w:p w14:paraId="29C046C1" w14:textId="44B4ADFB" w:rsidR="003B28B0" w:rsidRDefault="003B28B0" w:rsidP="003B28B0">
            <w:pPr>
              <w:tabs>
                <w:tab w:val="left" w:pos="6379"/>
              </w:tabs>
              <w:spacing w:before="120" w:line="276" w:lineRule="auto"/>
              <w:ind w:left="592"/>
              <w:rPr>
                <w:rFonts w:cs="Arial"/>
                <w:b/>
              </w:rPr>
            </w:pPr>
            <w:r w:rsidRPr="005665E4">
              <w:rPr>
                <w:rFonts w:cs="Arial"/>
                <w:i/>
              </w:rPr>
              <w:t>Verbrauchsmaterialien</w:t>
            </w:r>
          </w:p>
        </w:tc>
        <w:tc>
          <w:tcPr>
            <w:tcW w:w="3913" w:type="dxa"/>
            <w:gridSpan w:val="2"/>
            <w:tcBorders>
              <w:top w:val="nil"/>
              <w:left w:val="single" w:sz="4" w:space="0" w:color="FFFFFF" w:themeColor="background1"/>
            </w:tcBorders>
            <w:vAlign w:val="bottom"/>
          </w:tcPr>
          <w:p w14:paraId="506714A2" w14:textId="3DDB20E0" w:rsidR="003B28B0" w:rsidRDefault="003B28B0" w:rsidP="003B28B0">
            <w:pPr>
              <w:tabs>
                <w:tab w:val="left" w:pos="6379"/>
              </w:tabs>
              <w:spacing w:before="120" w:line="276" w:lineRule="auto"/>
              <w:ind w:firstLine="349"/>
              <w:rPr>
                <w:rFonts w:cs="Arial"/>
                <w:i/>
              </w:rPr>
            </w:pPr>
            <w:r w:rsidRPr="00D757EF">
              <w:rPr>
                <w:rFonts w:cs="Arial"/>
                <w:i/>
              </w:rPr>
              <w:t xml:space="preserve">rd. </w:t>
            </w:r>
            <w:r>
              <w:rPr>
                <w:rFonts w:cs="Arial"/>
                <w:i/>
              </w:rPr>
              <w:t>2</w:t>
            </w:r>
            <w:r w:rsidRPr="00D757EF">
              <w:rPr>
                <w:rFonts w:cs="Arial"/>
                <w:i/>
              </w:rPr>
              <w:t xml:space="preserve"> €</w:t>
            </w:r>
          </w:p>
        </w:tc>
      </w:tr>
      <w:tr w:rsidR="003248D8" w14:paraId="1E8A1C27" w14:textId="77777777" w:rsidTr="00337E54">
        <w:trPr>
          <w:jc w:val="center"/>
        </w:trPr>
        <w:tc>
          <w:tcPr>
            <w:tcW w:w="4644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272A4031" w14:textId="77777777" w:rsidR="006D0009" w:rsidRPr="00F079D2" w:rsidRDefault="003248D8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Version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AED595E" w14:textId="187D8229" w:rsidR="006D0009" w:rsidRPr="00F079D2" w:rsidRDefault="00082D47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04.11</w:t>
            </w:r>
            <w:r w:rsidR="00F079D2" w:rsidRPr="00F079D2">
              <w:rPr>
                <w:rFonts w:cs="Arial"/>
                <w:i/>
              </w:rPr>
              <w:t>.2016</w:t>
            </w:r>
          </w:p>
        </w:tc>
      </w:tr>
      <w:tr w:rsidR="003248D8" w14:paraId="2D492F38" w14:textId="77777777" w:rsidTr="00337E54">
        <w:trPr>
          <w:trHeight w:val="57"/>
          <w:jc w:val="center"/>
        </w:trPr>
        <w:tc>
          <w:tcPr>
            <w:tcW w:w="464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66D611" w14:textId="77777777" w:rsidR="003248D8" w:rsidRDefault="003248D8" w:rsidP="000C1F4F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  <w:p w14:paraId="0B2F121C" w14:textId="77777777" w:rsidR="003248D8" w:rsidRDefault="003248D8" w:rsidP="000C1F4F">
            <w:pPr>
              <w:spacing w:line="276" w:lineRule="auto"/>
              <w:rPr>
                <w:rFonts w:cs="Arial"/>
                <w:sz w:val="2"/>
                <w:szCs w:val="2"/>
              </w:rPr>
            </w:pPr>
          </w:p>
          <w:p w14:paraId="27D67E09" w14:textId="77777777" w:rsidR="006D0009" w:rsidRPr="003248D8" w:rsidRDefault="003248D8" w:rsidP="000C1F4F">
            <w:pPr>
              <w:tabs>
                <w:tab w:val="left" w:pos="3909"/>
              </w:tabs>
              <w:spacing w:line="276" w:lineRule="auto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6AADEC25" w14:textId="77777777" w:rsidR="006D0009" w:rsidRPr="003248D8" w:rsidRDefault="006D0009" w:rsidP="000C1F4F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</w:tc>
      </w:tr>
      <w:tr w:rsidR="00261764" w14:paraId="634BCCFB" w14:textId="77777777" w:rsidTr="003B28B0">
        <w:trPr>
          <w:trHeight w:val="1587"/>
          <w:jc w:val="center"/>
        </w:trPr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14:paraId="6BA540C5" w14:textId="77777777" w:rsidR="00261764" w:rsidRDefault="00261764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261764">
              <w:rPr>
                <w:rFonts w:cs="Arial"/>
                <w:i/>
              </w:rPr>
              <w:t>Das vorliegende Material entstand im Rahmen des Projekt</w:t>
            </w:r>
            <w:r>
              <w:rPr>
                <w:rFonts w:cs="Arial"/>
                <w:i/>
              </w:rPr>
              <w:t>s</w:t>
            </w:r>
            <w:r w:rsidRPr="00261764">
              <w:rPr>
                <w:rFonts w:cs="Arial"/>
                <w:i/>
              </w:rPr>
              <w:t xml:space="preserve"> „Energiewende macht Schule“</w:t>
            </w:r>
            <w:r>
              <w:rPr>
                <w:rFonts w:cs="Arial"/>
                <w:i/>
              </w:rPr>
              <w:t>.</w:t>
            </w:r>
          </w:p>
          <w:p w14:paraId="3DB2C612" w14:textId="77777777" w:rsidR="00261764" w:rsidRPr="00261764" w:rsidRDefault="00261764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Siehe auch: www.energiewende-macht-schule.de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0E6567CD" w14:textId="77777777" w:rsidR="00261764" w:rsidRDefault="00261764" w:rsidP="000C1F4F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F3E5D95" wp14:editId="76990919">
                  <wp:extent cx="1269242" cy="942746"/>
                  <wp:effectExtent l="0" t="0" r="762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08" cy="95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D8" w14:paraId="5E399B60" w14:textId="77777777" w:rsidTr="003B28B0">
        <w:trPr>
          <w:trHeight w:val="1247"/>
          <w:jc w:val="center"/>
        </w:trPr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14:paraId="6E03AB26" w14:textId="659F7B2E" w:rsidR="003248D8" w:rsidRDefault="003248D8" w:rsidP="000C1F4F">
            <w:pPr>
              <w:tabs>
                <w:tab w:val="left" w:pos="6379"/>
              </w:tabs>
              <w:spacing w:before="120" w:after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Die Projektleitung liegt beim Zentrum für Innovative Energiesysteme (ZIES) der Hochschule Düsseldorf (HSD)</w:t>
            </w:r>
            <w:r w:rsidR="000717B3">
              <w:rPr>
                <w:rFonts w:cs="Arial"/>
                <w:i/>
              </w:rPr>
              <w:t>.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DC9B536" w14:textId="77777777" w:rsidR="003248D8" w:rsidRDefault="003248D8" w:rsidP="000C1F4F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7FEFA77" wp14:editId="3BDBA722">
                  <wp:extent cx="1268547" cy="341195"/>
                  <wp:effectExtent l="0" t="0" r="8255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D_Marke_v4_HSD_RotCMYK_ZIES_Schw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8333" r="27018" b="34848"/>
                          <a:stretch/>
                        </pic:blipFill>
                        <pic:spPr bwMode="auto">
                          <a:xfrm>
                            <a:off x="0" y="0"/>
                            <a:ext cx="1275869" cy="34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64" w14:paraId="5B57A16F" w14:textId="77777777" w:rsidTr="003B28B0">
        <w:trPr>
          <w:trHeight w:val="1701"/>
          <w:jc w:val="center"/>
        </w:trPr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14:paraId="630AAC02" w14:textId="77777777" w:rsidR="00261764" w:rsidRPr="00261764" w:rsidRDefault="00261764" w:rsidP="000C1F4F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Das Projekt w</w:t>
            </w:r>
            <w:r w:rsidR="00FD7CBD">
              <w:rPr>
                <w:rFonts w:cs="Arial"/>
                <w:i/>
              </w:rPr>
              <w:t>i</w:t>
            </w:r>
            <w:r>
              <w:rPr>
                <w:rFonts w:cs="Arial"/>
                <w:i/>
              </w:rPr>
              <w:t>rd durch die Deutsche Bundesstiftung Umwelt (DBU) gefördert.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</w:tcPr>
          <w:p w14:paraId="2B75A56A" w14:textId="77777777" w:rsidR="00261764" w:rsidRDefault="00261764" w:rsidP="000C1F4F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4A79F83" wp14:editId="5D9F4E76">
                  <wp:extent cx="1086900" cy="102412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O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4" r="9402"/>
                          <a:stretch/>
                        </pic:blipFill>
                        <pic:spPr bwMode="auto">
                          <a:xfrm>
                            <a:off x="0" y="0"/>
                            <a:ext cx="1090828" cy="102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8F591" w14:textId="77777777" w:rsidR="00EA1DCD" w:rsidRDefault="00EA1DCD" w:rsidP="000C1F4F">
      <w:pPr>
        <w:tabs>
          <w:tab w:val="left" w:pos="1985"/>
        </w:tabs>
        <w:spacing w:before="120" w:line="276" w:lineRule="auto"/>
        <w:jc w:val="both"/>
        <w:rPr>
          <w:b/>
          <w:sz w:val="22"/>
        </w:rPr>
        <w:sectPr w:rsidR="00EA1DCD" w:rsidSect="00B1526B">
          <w:headerReference w:type="default" r:id="rId11"/>
          <w:footerReference w:type="default" r:id="rId12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 w:val="0"/>
          <w:bCs w:val="0"/>
          <w:sz w:val="24"/>
          <w:szCs w:val="20"/>
          <w:lang w:eastAsia="de-DE"/>
        </w:rPr>
        <w:id w:val="-1104498368"/>
        <w:docPartObj>
          <w:docPartGallery w:val="Table of Contents"/>
          <w:docPartUnique/>
        </w:docPartObj>
      </w:sdtPr>
      <w:sdtEndPr/>
      <w:sdtContent>
        <w:p w14:paraId="5D519823" w14:textId="77777777" w:rsidR="00EA1DCD" w:rsidRPr="00337E54" w:rsidRDefault="00EA1DCD" w:rsidP="000C1F4F">
          <w:pPr>
            <w:pStyle w:val="Inhaltsverzeichnisberschrift"/>
          </w:pPr>
          <w:r w:rsidRPr="00337E54">
            <w:t>Inhalt</w:t>
          </w:r>
        </w:p>
        <w:p w14:paraId="2826C066" w14:textId="43736B16" w:rsidR="003B28B0" w:rsidRDefault="00FD3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A1DCD">
            <w:instrText xml:space="preserve"> TOC \o "1-3" \h \z \u </w:instrText>
          </w:r>
          <w:r>
            <w:fldChar w:fldCharType="separate"/>
          </w:r>
          <w:hyperlink w:anchor="_Toc466017410" w:history="1">
            <w:r w:rsidR="003B28B0" w:rsidRPr="0028741C">
              <w:rPr>
                <w:rStyle w:val="Hyperlink"/>
                <w:noProof/>
              </w:rPr>
              <w:t>1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Versuchsbeschreibung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_Toc466017410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2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71AFCA17" w14:textId="543ADEE8" w:rsidR="003B28B0" w:rsidRDefault="00C3390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1" w:history="1">
            <w:r w:rsidR="003B28B0" w:rsidRPr="0028741C">
              <w:rPr>
                <w:rStyle w:val="Hyperlink"/>
                <w:noProof/>
              </w:rPr>
              <w:t>1.1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Versuchsdurchführung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_Toc466017411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2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7FE8C7AB" w14:textId="6CD77DE1" w:rsidR="003B28B0" w:rsidRDefault="00C3390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2" w:history="1">
            <w:r w:rsidR="003B28B0" w:rsidRPr="0028741C">
              <w:rPr>
                <w:rStyle w:val="Hyperlink"/>
                <w:noProof/>
              </w:rPr>
              <w:t>1.2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Hinweise zu fehlerhafter Durchführung &amp; Optimierungsmöglichkeiten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_Toc466017412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3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2040D9F1" w14:textId="269397B7" w:rsidR="003B28B0" w:rsidRDefault="00C3390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3" w:history="1">
            <w:r w:rsidR="003B28B0" w:rsidRPr="0028741C">
              <w:rPr>
                <w:rStyle w:val="Hyperlink"/>
                <w:noProof/>
              </w:rPr>
              <w:t>2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Materialliste &amp; Kosten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_Toc466017413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3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72F5BEE6" w14:textId="7DC6F113" w:rsidR="003B28B0" w:rsidRDefault="00C3390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4" w:history="1">
            <w:r w:rsidR="003B28B0" w:rsidRPr="0028741C">
              <w:rPr>
                <w:rStyle w:val="Hyperlink"/>
                <w:noProof/>
              </w:rPr>
              <w:t>3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Hintergrundwissen für Lehrpersonal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_Toc466017414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3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58A98147" w14:textId="6A3AA2D9" w:rsidR="003B28B0" w:rsidRDefault="00C3390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5" w:history="1">
            <w:r w:rsidR="003B28B0" w:rsidRPr="0028741C">
              <w:rPr>
                <w:rStyle w:val="Hyperlink"/>
                <w:noProof/>
              </w:rPr>
              <w:t>4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Auswertung der Aufgaben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_Toc466017415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4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79D16737" w14:textId="1082CD55" w:rsidR="003B28B0" w:rsidRDefault="00C3390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6" w:history="1">
            <w:r w:rsidR="003B28B0" w:rsidRPr="0028741C">
              <w:rPr>
                <w:rStyle w:val="Hyperlink"/>
                <w:noProof/>
              </w:rPr>
              <w:t>4.1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Fragen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_Toc466017416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4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7171B4CB" w14:textId="6E33D52F" w:rsidR="003B28B0" w:rsidRDefault="00C3390A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7" w:history="1">
            <w:r w:rsidR="003B28B0" w:rsidRPr="0028741C">
              <w:rPr>
                <w:rStyle w:val="Hyperlink"/>
                <w:noProof/>
              </w:rPr>
              <w:t>4.2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Begriffskarten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_Toc466017417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5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3231CDDA" w14:textId="3F076C00" w:rsidR="003B28B0" w:rsidRDefault="00C3390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6017418" w:history="1">
            <w:r w:rsidR="003B28B0" w:rsidRPr="0028741C">
              <w:rPr>
                <w:rStyle w:val="Hyperlink"/>
                <w:noProof/>
              </w:rPr>
              <w:t>5</w:t>
            </w:r>
            <w:r w:rsidR="003B2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B28B0" w:rsidRPr="0028741C">
              <w:rPr>
                <w:rStyle w:val="Hyperlink"/>
                <w:noProof/>
              </w:rPr>
              <w:t>Glossar</w:t>
            </w:r>
            <w:r w:rsidR="003B28B0">
              <w:rPr>
                <w:noProof/>
                <w:webHidden/>
              </w:rPr>
              <w:tab/>
            </w:r>
            <w:r w:rsidR="003B28B0">
              <w:rPr>
                <w:noProof/>
                <w:webHidden/>
              </w:rPr>
              <w:fldChar w:fldCharType="begin"/>
            </w:r>
            <w:r w:rsidR="003B28B0">
              <w:rPr>
                <w:noProof/>
                <w:webHidden/>
              </w:rPr>
              <w:instrText xml:space="preserve"> PAGEREF _Toc466017418 \h </w:instrText>
            </w:r>
            <w:r w:rsidR="003B28B0">
              <w:rPr>
                <w:noProof/>
                <w:webHidden/>
              </w:rPr>
            </w:r>
            <w:r w:rsidR="003B28B0">
              <w:rPr>
                <w:noProof/>
                <w:webHidden/>
              </w:rPr>
              <w:fldChar w:fldCharType="separate"/>
            </w:r>
            <w:r w:rsidR="003B28B0">
              <w:rPr>
                <w:noProof/>
                <w:webHidden/>
              </w:rPr>
              <w:t>5</w:t>
            </w:r>
            <w:r w:rsidR="003B28B0">
              <w:rPr>
                <w:noProof/>
                <w:webHidden/>
              </w:rPr>
              <w:fldChar w:fldCharType="end"/>
            </w:r>
          </w:hyperlink>
        </w:p>
        <w:p w14:paraId="3118D989" w14:textId="68232A9D" w:rsidR="009D270D" w:rsidRDefault="00FD31E2" w:rsidP="000C1F4F">
          <w:pPr>
            <w:spacing w:line="276" w:lineRule="auto"/>
            <w:sectPr w:rsidR="009D270D" w:rsidSect="00B1526B">
              <w:footerReference w:type="default" r:id="rId13"/>
              <w:pgSz w:w="11906" w:h="16838"/>
              <w:pgMar w:top="1417" w:right="1417" w:bottom="1134" w:left="1417" w:header="709" w:footer="709" w:gutter="0"/>
              <w:pgNumType w:start="1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5B06EBC2" w14:textId="2870EC05" w:rsidR="00C520C6" w:rsidRPr="002E6206" w:rsidRDefault="00083F8C" w:rsidP="000C1F4F">
      <w:pPr>
        <w:pStyle w:val="berschrift1"/>
      </w:pPr>
      <w:bookmarkStart w:id="0" w:name="_Toc466017410"/>
      <w:r w:rsidRPr="001115A8">
        <w:lastRenderedPageBreak/>
        <w:t>Versuchsbeschreibung</w:t>
      </w:r>
      <w:bookmarkEnd w:id="0"/>
    </w:p>
    <w:p w14:paraId="337F1195" w14:textId="6A957D20" w:rsidR="00C33961" w:rsidRPr="002E6206" w:rsidRDefault="00814948" w:rsidP="000C1F4F">
      <w:pPr>
        <w:spacing w:line="276" w:lineRule="auto"/>
        <w:rPr>
          <w:b/>
        </w:rPr>
      </w:pPr>
      <w:r>
        <w:t xml:space="preserve">Dieses Modell veranschaulicht die unterschiedliche Löslichkeit von </w:t>
      </w:r>
      <w:r w:rsidR="000717B3">
        <w:t>Kohlenstoffdioxid (</w:t>
      </w:r>
      <w:r w:rsidRPr="00814948">
        <w:t>CO</w:t>
      </w:r>
      <w:r>
        <w:rPr>
          <w:vertAlign w:val="subscript"/>
        </w:rPr>
        <w:t>2</w:t>
      </w:r>
      <w:r w:rsidR="000717B3">
        <w:t>)</w:t>
      </w:r>
      <w:r>
        <w:rPr>
          <w:vertAlign w:val="subscript"/>
        </w:rPr>
        <w:t xml:space="preserve"> </w:t>
      </w:r>
      <w:r>
        <w:t>in Wasser</w:t>
      </w:r>
      <w:r w:rsidR="000717B3">
        <w:t>,</w:t>
      </w:r>
      <w:r>
        <w:t xml:space="preserve"> </w:t>
      </w:r>
      <w:r w:rsidR="002D737F">
        <w:t>bei warmer und kalter Umgebung, mit Hilfe von Kohlensäure. Dazu werden zwei Flaschen mit kohlensäurehaltigem Wasser</w:t>
      </w:r>
      <w:r w:rsidR="00075B38">
        <w:t>, statt mit dem Deckel</w:t>
      </w:r>
      <w:r w:rsidR="002D737F">
        <w:t xml:space="preserve"> mit einem Luftballon verschlossen, </w:t>
      </w:r>
      <w:r w:rsidR="000717B3">
        <w:t xml:space="preserve">an einem kalten Ort (z.B. </w:t>
      </w:r>
      <w:r w:rsidR="002D737F">
        <w:t>Kühlschrank</w:t>
      </w:r>
      <w:r w:rsidR="000717B3">
        <w:t>)</w:t>
      </w:r>
      <w:r w:rsidR="002D737F">
        <w:t xml:space="preserve"> und </w:t>
      </w:r>
      <w:r w:rsidR="000717B3">
        <w:t xml:space="preserve">an einem warmen Ort (z.B. </w:t>
      </w:r>
      <w:r w:rsidR="002D737F">
        <w:t>auf der Heizung</w:t>
      </w:r>
      <w:r w:rsidR="000717B3">
        <w:t>)</w:t>
      </w:r>
      <w:r w:rsidR="002D737F">
        <w:t xml:space="preserve"> platziert. Die unterschiedl</w:t>
      </w:r>
      <w:r w:rsidR="00075B38">
        <w:t>iche Ausdehnung der</w:t>
      </w:r>
      <w:r w:rsidR="002D737F">
        <w:t xml:space="preserve"> Luftballons verdeutlicht inwieweit d</w:t>
      </w:r>
      <w:r w:rsidR="009F2D34">
        <w:t>ie Tem</w:t>
      </w:r>
      <w:r w:rsidR="004A7E32">
        <w:t>p</w:t>
      </w:r>
      <w:r w:rsidR="009F2D34">
        <w:t>eratur des</w:t>
      </w:r>
      <w:r w:rsidR="002D737F">
        <w:t xml:space="preserve"> Meer</w:t>
      </w:r>
      <w:r w:rsidR="009F2D34">
        <w:t>es</w:t>
      </w:r>
      <w:r w:rsidR="002D737F">
        <w:t xml:space="preserve"> und der CO</w:t>
      </w:r>
      <w:r w:rsidR="002D737F">
        <w:rPr>
          <w:vertAlign w:val="subscript"/>
        </w:rPr>
        <w:t xml:space="preserve">2 </w:t>
      </w:r>
      <w:r w:rsidR="002D737F">
        <w:t xml:space="preserve">–Gehalt der Luft in einer Beziehung </w:t>
      </w:r>
      <w:r w:rsidR="00075B38">
        <w:t>stehen. Ziel ist es den</w:t>
      </w:r>
      <w:r w:rsidR="002D737F">
        <w:t xml:space="preserve"> SchülerInnen </w:t>
      </w:r>
      <w:r w:rsidR="00075B38">
        <w:t>ein Verständnis über den Zusammenhang der CO</w:t>
      </w:r>
      <w:r w:rsidR="00075B38">
        <w:rPr>
          <w:vertAlign w:val="subscript"/>
        </w:rPr>
        <w:t xml:space="preserve">2 </w:t>
      </w:r>
      <w:r w:rsidR="00075B38">
        <w:t>–Löslichkeit im Wasser mit der Erwärmung der Meere zu vermitteln.</w:t>
      </w:r>
    </w:p>
    <w:p w14:paraId="61272F5E" w14:textId="5618B87D" w:rsidR="00C520C6" w:rsidRPr="00C3239F" w:rsidRDefault="00075B38" w:rsidP="00C3239F">
      <w:pPr>
        <w:pStyle w:val="berschrift2"/>
      </w:pPr>
      <w:bookmarkStart w:id="1" w:name="_Toc466017411"/>
      <w:r w:rsidRPr="00C3239F">
        <w:t>Versuchsdurchführung</w:t>
      </w:r>
      <w:bookmarkEnd w:id="1"/>
    </w:p>
    <w:p w14:paraId="379B7B27" w14:textId="77777777" w:rsidR="00075B38" w:rsidRDefault="00075B38" w:rsidP="000C1F4F">
      <w:pPr>
        <w:spacing w:line="276" w:lineRule="auto"/>
        <w:rPr>
          <w:b/>
        </w:rPr>
      </w:pPr>
      <w:r>
        <w:t>Benötigte Materialien: zwei Flaschen Wasser mit Kohlensäure, zwei Luftballons</w:t>
      </w:r>
    </w:p>
    <w:p w14:paraId="388607A3" w14:textId="4F547E74" w:rsidR="002E6206" w:rsidRPr="002E6206" w:rsidRDefault="002E6206" w:rsidP="000C1F4F">
      <w:pPr>
        <w:spacing w:line="276" w:lineRule="auto"/>
        <w:rPr>
          <w:b/>
        </w:rPr>
      </w:pPr>
      <w:r>
        <w:rPr>
          <w:b/>
        </w:rPr>
        <w:t xml:space="preserve">     Tipp: Die Ballons vor Versuchsbeginn einmal aufpusten!</w:t>
      </w:r>
    </w:p>
    <w:p w14:paraId="6F4E9996" w14:textId="094AB689" w:rsidR="00075B38" w:rsidRDefault="00075B38" w:rsidP="000C1F4F">
      <w:pPr>
        <w:pStyle w:val="Listenabsatz"/>
        <w:numPr>
          <w:ilvl w:val="0"/>
          <w:numId w:val="35"/>
        </w:numPr>
        <w:spacing w:line="276" w:lineRule="auto"/>
      </w:pPr>
      <w:r>
        <w:t>Öffnet die Wasserflaschen &amp; zieht sofort je einen Ballon über den Flaschenhals</w:t>
      </w:r>
      <w:r w:rsidR="000717B3">
        <w:t>.</w:t>
      </w:r>
    </w:p>
    <w:p w14:paraId="628E93A2" w14:textId="39DFD39E" w:rsidR="00075B38" w:rsidRDefault="00075B38" w:rsidP="000C1F4F">
      <w:pPr>
        <w:pStyle w:val="Listenabsatz"/>
        <w:numPr>
          <w:ilvl w:val="0"/>
          <w:numId w:val="35"/>
        </w:numPr>
        <w:spacing w:line="276" w:lineRule="auto"/>
      </w:pPr>
      <w:r>
        <w:t xml:space="preserve">Eine Flasche kommt </w:t>
      </w:r>
      <w:r w:rsidR="000717B3">
        <w:t xml:space="preserve">an einen kalten Ort, z.B. </w:t>
      </w:r>
      <w:r>
        <w:t>in den Kühlschrank oder in ein Eisbad</w:t>
      </w:r>
      <w:r w:rsidR="000717B3">
        <w:t>.</w:t>
      </w:r>
    </w:p>
    <w:p w14:paraId="23221998" w14:textId="4485D0EC" w:rsidR="00075B38" w:rsidRDefault="00075B38" w:rsidP="000C1F4F">
      <w:pPr>
        <w:pStyle w:val="Listenabsatz"/>
        <w:numPr>
          <w:ilvl w:val="0"/>
          <w:numId w:val="35"/>
        </w:numPr>
        <w:spacing w:line="276" w:lineRule="auto"/>
      </w:pPr>
      <w:r>
        <w:t>Die andere Flasche in die Nähe einer Wärmequelle (Heizung, pralle Sonne, Wärmelampe/Strahler)</w:t>
      </w:r>
      <w:r w:rsidR="000717B3">
        <w:t xml:space="preserve"> stellen.</w:t>
      </w:r>
    </w:p>
    <w:p w14:paraId="01CF3361" w14:textId="3936E913" w:rsidR="002E6206" w:rsidRDefault="00075B38" w:rsidP="000C1F4F">
      <w:pPr>
        <w:pStyle w:val="Listenabsatz"/>
        <w:numPr>
          <w:ilvl w:val="0"/>
          <w:numId w:val="35"/>
        </w:numPr>
        <w:spacing w:line="276" w:lineRule="auto"/>
      </w:pPr>
      <w:r>
        <w:t>Am Ende der Stunde</w:t>
      </w:r>
      <w:r w:rsidR="002E6206">
        <w:t xml:space="preserve"> wird die Veränderung der Ballons verglichen</w:t>
      </w:r>
      <w:r w:rsidR="000717B3">
        <w:t>.</w:t>
      </w:r>
    </w:p>
    <w:p w14:paraId="5A8B065D" w14:textId="77777777" w:rsidR="003075DF" w:rsidRDefault="001537BE" w:rsidP="003075DF">
      <w:pPr>
        <w:keepNext/>
        <w:spacing w:line="276" w:lineRule="auto"/>
      </w:pPr>
      <w:r>
        <w:t xml:space="preserve">      </w:t>
      </w:r>
      <w:r w:rsidR="00E44791">
        <w:rPr>
          <w:noProof/>
        </w:rPr>
        <w:drawing>
          <wp:inline distT="0" distB="0" distL="0" distR="0" wp14:anchorId="34D9B279" wp14:editId="75A3B6EE">
            <wp:extent cx="5096401" cy="3059216"/>
            <wp:effectExtent l="0" t="0" r="9525" b="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12" cy="307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80A7E" w14:textId="505635E3" w:rsidR="00C33961" w:rsidRPr="00125A37" w:rsidRDefault="003075DF" w:rsidP="00C25BF0">
      <w:pPr>
        <w:pStyle w:val="Beschriftung"/>
        <w:jc w:val="center"/>
        <w:rPr>
          <w:sz w:val="20"/>
        </w:rPr>
      </w:pPr>
      <w:r w:rsidRPr="00125A37">
        <w:rPr>
          <w:sz w:val="20"/>
        </w:rPr>
        <w:t xml:space="preserve">Abbildung </w:t>
      </w:r>
      <w:r w:rsidR="00C33487" w:rsidRPr="00125A37">
        <w:rPr>
          <w:sz w:val="20"/>
        </w:rPr>
        <w:fldChar w:fldCharType="begin"/>
      </w:r>
      <w:r w:rsidR="00C33487" w:rsidRPr="00125A37">
        <w:rPr>
          <w:sz w:val="20"/>
        </w:rPr>
        <w:instrText xml:space="preserve"> SEQ Abbildung \* ARABIC </w:instrText>
      </w:r>
      <w:r w:rsidR="00C33487" w:rsidRPr="00125A37">
        <w:rPr>
          <w:sz w:val="20"/>
        </w:rPr>
        <w:fldChar w:fldCharType="separate"/>
      </w:r>
      <w:r w:rsidR="003B28B0">
        <w:rPr>
          <w:noProof/>
          <w:sz w:val="20"/>
        </w:rPr>
        <w:t>1</w:t>
      </w:r>
      <w:r w:rsidR="00C33487" w:rsidRPr="00125A37">
        <w:rPr>
          <w:noProof/>
          <w:sz w:val="20"/>
        </w:rPr>
        <w:fldChar w:fldCharType="end"/>
      </w:r>
      <w:r w:rsidRPr="00125A37">
        <w:rPr>
          <w:sz w:val="20"/>
        </w:rPr>
        <w:t>: Vollständiger Versuchsaufbau</w:t>
      </w:r>
    </w:p>
    <w:p w14:paraId="270DDE09" w14:textId="4003D58D" w:rsidR="00346B04" w:rsidRDefault="00346B04" w:rsidP="00346B04">
      <w:pPr>
        <w:pStyle w:val="berschrift2"/>
      </w:pPr>
      <w:r>
        <w:lastRenderedPageBreak/>
        <w:t xml:space="preserve"> </w:t>
      </w:r>
      <w:bookmarkStart w:id="2" w:name="_Toc466017412"/>
      <w:r>
        <w:t xml:space="preserve">Hinweise </w:t>
      </w:r>
      <w:r w:rsidR="003B28B0">
        <w:t>zu</w:t>
      </w:r>
      <w:r>
        <w:t xml:space="preserve"> fehlerhafter Durchführung &amp; Optimierungsmöglichkeiten</w:t>
      </w:r>
      <w:bookmarkEnd w:id="2"/>
    </w:p>
    <w:p w14:paraId="74F64CAE" w14:textId="09C1D8E7" w:rsidR="0061196C" w:rsidRDefault="00C520C6" w:rsidP="00346B04">
      <w:pPr>
        <w:spacing w:line="276" w:lineRule="auto"/>
      </w:pPr>
      <w:r>
        <w:t>Vergleich der beiden Luftballons im Plenum</w:t>
      </w:r>
      <w:r w:rsidR="001537BE">
        <w:t>. Der Ballon an der warmen Wasserflasche muss deutlich größer sein, als der Ballon an der kalten Flasche. Ist dies nicht der Fall</w:t>
      </w:r>
      <w:r w:rsidR="00933F66">
        <w:t>,</w:t>
      </w:r>
      <w:r w:rsidR="001537BE">
        <w:t xml:space="preserve"> ist es wahrscheinlich, dass der Ballon die Flasche nicht abgedichtet hat. </w:t>
      </w:r>
    </w:p>
    <w:p w14:paraId="27E8A2AD" w14:textId="17688D6E" w:rsidR="00083F8C" w:rsidRDefault="00083F8C" w:rsidP="000C1F4F">
      <w:pPr>
        <w:pStyle w:val="berschrift1"/>
      </w:pPr>
      <w:bookmarkStart w:id="3" w:name="_Toc466017413"/>
      <w:r>
        <w:t>Materialliste &amp; Kosten</w:t>
      </w:r>
      <w:bookmarkEnd w:id="3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1871"/>
      </w:tblGrid>
      <w:tr w:rsidR="005631A8" w:rsidRPr="00B356F0" w14:paraId="1B5EDB21" w14:textId="77777777" w:rsidTr="009F2D34">
        <w:trPr>
          <w:jc w:val="center"/>
        </w:trPr>
        <w:tc>
          <w:tcPr>
            <w:tcW w:w="4205" w:type="dxa"/>
          </w:tcPr>
          <w:p w14:paraId="2DB93FE3" w14:textId="078E378F" w:rsidR="005631A8" w:rsidRPr="00B356F0" w:rsidRDefault="005631A8" w:rsidP="00B356F0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B356F0">
              <w:rPr>
                <w:rFonts w:cs="Arial"/>
              </w:rPr>
              <w:t xml:space="preserve"> Flasche</w:t>
            </w:r>
            <w:r>
              <w:rPr>
                <w:rFonts w:cs="Arial"/>
              </w:rPr>
              <w:t>n</w:t>
            </w:r>
            <w:r w:rsidRPr="00B356F0">
              <w:rPr>
                <w:rFonts w:cs="Arial"/>
              </w:rPr>
              <w:t xml:space="preserve"> Wasser mit Kohlensäure</w:t>
            </w:r>
          </w:p>
        </w:tc>
        <w:tc>
          <w:tcPr>
            <w:tcW w:w="1871" w:type="dxa"/>
          </w:tcPr>
          <w:p w14:paraId="36D4C38D" w14:textId="77777777" w:rsidR="005631A8" w:rsidRPr="00B356F0" w:rsidRDefault="005631A8" w:rsidP="009F2D34">
            <w:pPr>
              <w:spacing w:after="60" w:line="276" w:lineRule="auto"/>
              <w:jc w:val="right"/>
              <w:rPr>
                <w:rFonts w:ascii="MingLiU" w:eastAsia="MingLiU" w:hAnsi="MingLiU" w:cs="MingLiU"/>
              </w:rPr>
            </w:pPr>
            <w:r w:rsidRPr="00B356F0">
              <w:rPr>
                <w:rFonts w:cs="Arial"/>
              </w:rPr>
              <w:t>ca. 1,50 €</w:t>
            </w:r>
          </w:p>
        </w:tc>
      </w:tr>
      <w:tr w:rsidR="005631A8" w:rsidRPr="00B356F0" w14:paraId="6565BE72" w14:textId="77777777" w:rsidTr="009F2D34">
        <w:trPr>
          <w:jc w:val="center"/>
        </w:trPr>
        <w:tc>
          <w:tcPr>
            <w:tcW w:w="4205" w:type="dxa"/>
          </w:tcPr>
          <w:p w14:paraId="210951D7" w14:textId="749F631F" w:rsidR="005631A8" w:rsidRPr="00B356F0" w:rsidRDefault="005631A8" w:rsidP="00B356F0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Pr="00B356F0">
              <w:rPr>
                <w:rFonts w:cs="Arial"/>
              </w:rPr>
              <w:t xml:space="preserve">Luftballons </w:t>
            </w:r>
          </w:p>
        </w:tc>
        <w:tc>
          <w:tcPr>
            <w:tcW w:w="1871" w:type="dxa"/>
          </w:tcPr>
          <w:p w14:paraId="7D955834" w14:textId="2B71799C" w:rsidR="005631A8" w:rsidRPr="00B356F0" w:rsidRDefault="005631A8" w:rsidP="009F2D34">
            <w:pPr>
              <w:spacing w:after="60" w:line="276" w:lineRule="auto"/>
              <w:jc w:val="right"/>
              <w:rPr>
                <w:rFonts w:ascii="MingLiU" w:eastAsia="MingLiU" w:hAnsi="MingLiU" w:cs="MingLiU"/>
              </w:rPr>
            </w:pPr>
            <w:r w:rsidRPr="00B356F0">
              <w:rPr>
                <w:rFonts w:cs="Arial"/>
              </w:rPr>
              <w:t>ca. 0,10 €</w:t>
            </w:r>
            <w:r>
              <w:rPr>
                <w:rFonts w:cs="Arial"/>
              </w:rPr>
              <w:t>/Stk.</w:t>
            </w:r>
          </w:p>
        </w:tc>
      </w:tr>
      <w:tr w:rsidR="005631A8" w:rsidRPr="00B356F0" w14:paraId="0757BE93" w14:textId="77777777" w:rsidTr="009F2D34">
        <w:trPr>
          <w:jc w:val="center"/>
        </w:trPr>
        <w:tc>
          <w:tcPr>
            <w:tcW w:w="4205" w:type="dxa"/>
          </w:tcPr>
          <w:p w14:paraId="4F82DE9C" w14:textId="489C4738" w:rsidR="005631A8" w:rsidRDefault="005631A8" w:rsidP="00B356F0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∑ pro Versuch</w:t>
            </w:r>
          </w:p>
        </w:tc>
        <w:tc>
          <w:tcPr>
            <w:tcW w:w="1871" w:type="dxa"/>
          </w:tcPr>
          <w:p w14:paraId="6AA2EC7F" w14:textId="4225AE77" w:rsidR="005631A8" w:rsidRPr="00B356F0" w:rsidRDefault="005631A8" w:rsidP="009F2D34">
            <w:pPr>
              <w:spacing w:after="6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ca. 2 €</w:t>
            </w:r>
          </w:p>
        </w:tc>
      </w:tr>
    </w:tbl>
    <w:p w14:paraId="665DCEB4" w14:textId="1CC881A9" w:rsidR="001537BE" w:rsidRDefault="00083F8C" w:rsidP="000C1F4F">
      <w:pPr>
        <w:pStyle w:val="berschrift1"/>
      </w:pPr>
      <w:bookmarkStart w:id="4" w:name="_Toc466017414"/>
      <w:r>
        <w:t>Hintergrundwissen für Lehrpersona</w:t>
      </w:r>
      <w:r w:rsidR="001537BE">
        <w:t>l</w:t>
      </w:r>
      <w:bookmarkEnd w:id="4"/>
    </w:p>
    <w:p w14:paraId="46C2F240" w14:textId="3A84A431" w:rsidR="00821C8C" w:rsidRPr="001537BE" w:rsidRDefault="00821C8C" w:rsidP="000C1F4F">
      <w:pPr>
        <w:spacing w:line="276" w:lineRule="auto"/>
        <w:rPr>
          <w:rStyle w:val="cwcot"/>
        </w:rPr>
      </w:pPr>
      <w:r w:rsidRPr="001537BE">
        <w:t>Die Meere nehmen jeden Tag 4 kg CO</w:t>
      </w:r>
      <w:r w:rsidRPr="001537BE">
        <w:rPr>
          <w:vertAlign w:val="subscript"/>
        </w:rPr>
        <w:t>2</w:t>
      </w:r>
      <w:r w:rsidRPr="001537BE">
        <w:t xml:space="preserve"> pro Erdbewohner auf.</w:t>
      </w:r>
      <w:r w:rsidR="001537BE">
        <w:t xml:space="preserve"> </w:t>
      </w:r>
      <w:r w:rsidRPr="00A468E7">
        <w:rPr>
          <w:rFonts w:cs="Arial"/>
        </w:rPr>
        <w:t xml:space="preserve">Zum Jahreswechsel 2015/16 lebten 7,39 Milliarden Menschen auf der Erde. Daraus ergibt sich </w:t>
      </w:r>
      <w:r w:rsidRPr="00A468E7">
        <w:rPr>
          <w:rFonts w:cs="Arial"/>
        </w:rPr>
        <w:sym w:font="Wingdings" w:char="F0E0"/>
      </w:r>
      <w:r>
        <w:rPr>
          <w:rFonts w:cs="Arial"/>
        </w:rPr>
        <w:t xml:space="preserve"> </w:t>
      </w:r>
      <w:r w:rsidRPr="00A468E7">
        <w:rPr>
          <w:rFonts w:cs="Arial"/>
        </w:rPr>
        <w:t xml:space="preserve">Die Meere der Welt nehmen am Tag ca. </w:t>
      </w:r>
      <w:r w:rsidRPr="00A468E7">
        <w:rPr>
          <w:rStyle w:val="cwcot"/>
          <w:rFonts w:cs="Arial"/>
        </w:rPr>
        <w:t>29.500.000.000</w:t>
      </w:r>
      <w:r w:rsidR="005631A8">
        <w:rPr>
          <w:rStyle w:val="cwcot"/>
          <w:rFonts w:cs="Arial"/>
        </w:rPr>
        <w:t> </w:t>
      </w:r>
      <w:r w:rsidRPr="00A468E7">
        <w:rPr>
          <w:rStyle w:val="cwcot"/>
          <w:rFonts w:cs="Arial"/>
        </w:rPr>
        <w:t>kg (29,5</w:t>
      </w:r>
      <w:r w:rsidR="005631A8">
        <w:rPr>
          <w:rStyle w:val="cwcot"/>
          <w:rFonts w:cs="Arial"/>
        </w:rPr>
        <w:t> </w:t>
      </w:r>
      <w:r w:rsidRPr="00A468E7">
        <w:rPr>
          <w:rStyle w:val="cwcot"/>
          <w:rFonts w:cs="Arial"/>
        </w:rPr>
        <w:t>Milliarden) CO</w:t>
      </w:r>
      <w:r w:rsidRPr="00A468E7">
        <w:rPr>
          <w:rStyle w:val="cwcot"/>
          <w:rFonts w:cs="Arial"/>
          <w:vertAlign w:val="subscript"/>
        </w:rPr>
        <w:t>2</w:t>
      </w:r>
      <w:r w:rsidRPr="00A468E7">
        <w:rPr>
          <w:rStyle w:val="cwcot"/>
          <w:rFonts w:cs="Arial"/>
        </w:rPr>
        <w:t xml:space="preserve"> auf</w:t>
      </w:r>
      <w:r>
        <w:rPr>
          <w:rStyle w:val="cwcot"/>
          <w:rFonts w:cs="Arial"/>
        </w:rPr>
        <w:t>.</w:t>
      </w:r>
    </w:p>
    <w:p w14:paraId="3FD44955" w14:textId="77777777" w:rsidR="00821C8C" w:rsidRPr="00A468E7" w:rsidRDefault="00821C8C" w:rsidP="000C1F4F">
      <w:pPr>
        <w:keepNext/>
        <w:spacing w:after="60" w:line="276" w:lineRule="auto"/>
        <w:rPr>
          <w:rFonts w:cs="Arial"/>
        </w:rPr>
      </w:pPr>
      <w:r>
        <w:rPr>
          <w:rStyle w:val="cwcot"/>
          <w:rFonts w:cs="Arial"/>
        </w:rPr>
        <w:t xml:space="preserve">            </w:t>
      </w:r>
      <w:r w:rsidRPr="00A468E7">
        <w:rPr>
          <w:rFonts w:cs="Arial"/>
        </w:rPr>
        <w:t>Alle Meere zusammen haben eine Fläche von 360.570.000 km².</w:t>
      </w:r>
    </w:p>
    <w:p w14:paraId="4E0E11AD" w14:textId="2936A52E" w:rsidR="00821C8C" w:rsidRPr="00A468E7" w:rsidRDefault="00821C8C" w:rsidP="000C1F4F">
      <w:pPr>
        <w:spacing w:line="276" w:lineRule="auto"/>
      </w:pPr>
      <w:r>
        <w:t xml:space="preserve">            </w:t>
      </w:r>
      <w:r w:rsidRPr="00A468E7">
        <w:t xml:space="preserve">Pro km² nimmt das Meer also </w:t>
      </w:r>
      <w:r w:rsidR="005631A8">
        <w:rPr>
          <w:rFonts w:cs="Arial"/>
        </w:rPr>
        <w:t xml:space="preserve">durchschnittlich etwa </w:t>
      </w:r>
      <w:r w:rsidRPr="00A468E7">
        <w:t>80 kg CO</w:t>
      </w:r>
      <w:r w:rsidRPr="00A468E7">
        <w:rPr>
          <w:vertAlign w:val="subscript"/>
        </w:rPr>
        <w:t>2</w:t>
      </w:r>
      <w:r w:rsidRPr="00A468E7">
        <w:t xml:space="preserve"> täglich auf.</w:t>
      </w:r>
    </w:p>
    <w:p w14:paraId="0CC904D9" w14:textId="6DBBC395" w:rsidR="00821C8C" w:rsidRPr="00821C8C" w:rsidRDefault="005631A8" w:rsidP="000C1F4F">
      <w:pPr>
        <w:keepNext/>
        <w:spacing w:after="60" w:line="276" w:lineRule="auto"/>
      </w:pPr>
      <w:r>
        <w:fldChar w:fldCharType="begin"/>
      </w:r>
      <w:r>
        <w:instrText xml:space="preserve"> REF _Ref465408593 \h </w:instrText>
      </w:r>
      <w:r>
        <w:fldChar w:fldCharType="separate"/>
      </w:r>
      <w:r w:rsidR="003B28B0" w:rsidRPr="00125A37">
        <w:rPr>
          <w:sz w:val="20"/>
        </w:rPr>
        <w:t xml:space="preserve">Abbildung </w:t>
      </w:r>
      <w:r w:rsidR="003B28B0">
        <w:rPr>
          <w:noProof/>
          <w:sz w:val="20"/>
        </w:rPr>
        <w:t>2</w:t>
      </w:r>
      <w:r>
        <w:fldChar w:fldCharType="end"/>
      </w:r>
      <w:r>
        <w:t xml:space="preserve"> zeigt die Löslichkeit von Kohlenstoffdioxid in Wasser in Abhängigkeit von der Temperatur.</w:t>
      </w:r>
    </w:p>
    <w:p w14:paraId="3F6A2F1E" w14:textId="5E4AABFE" w:rsidR="00C25BF0" w:rsidRDefault="00A3257B" w:rsidP="00C25BF0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14E2554A" wp14:editId="2B0DAAB4">
            <wp:extent cx="5478145" cy="2495550"/>
            <wp:effectExtent l="0" t="0" r="8255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1AB21D" w14:textId="54E0910B" w:rsidR="00330272" w:rsidRPr="00125A37" w:rsidRDefault="00C25BF0" w:rsidP="00C60381">
      <w:pPr>
        <w:pStyle w:val="Beschriftung"/>
        <w:jc w:val="center"/>
        <w:rPr>
          <w:sz w:val="20"/>
        </w:rPr>
      </w:pPr>
      <w:bookmarkStart w:id="5" w:name="_Ref465408593"/>
      <w:r w:rsidRPr="00125A37">
        <w:rPr>
          <w:sz w:val="20"/>
        </w:rPr>
        <w:t xml:space="preserve">Abbildung </w:t>
      </w:r>
      <w:r w:rsidR="00C33487" w:rsidRPr="00125A37">
        <w:rPr>
          <w:sz w:val="20"/>
        </w:rPr>
        <w:fldChar w:fldCharType="begin"/>
      </w:r>
      <w:r w:rsidR="00C33487" w:rsidRPr="00125A37">
        <w:rPr>
          <w:sz w:val="20"/>
        </w:rPr>
        <w:instrText xml:space="preserve"> SEQ Abbildung \* ARABIC </w:instrText>
      </w:r>
      <w:r w:rsidR="00C33487" w:rsidRPr="00125A37">
        <w:rPr>
          <w:sz w:val="20"/>
        </w:rPr>
        <w:fldChar w:fldCharType="separate"/>
      </w:r>
      <w:r w:rsidR="003B28B0">
        <w:rPr>
          <w:noProof/>
          <w:sz w:val="20"/>
        </w:rPr>
        <w:t>2</w:t>
      </w:r>
      <w:r w:rsidR="00C33487" w:rsidRPr="00125A37">
        <w:rPr>
          <w:noProof/>
          <w:sz w:val="20"/>
        </w:rPr>
        <w:fldChar w:fldCharType="end"/>
      </w:r>
      <w:bookmarkEnd w:id="5"/>
      <w:r w:rsidRPr="00125A37">
        <w:rPr>
          <w:sz w:val="20"/>
        </w:rPr>
        <w:t>: Löslichkeit von Kohlenstoffdioxid in Wasser bei Normaldruck</w:t>
      </w:r>
    </w:p>
    <w:p w14:paraId="3312A0A1" w14:textId="703DFFE8" w:rsidR="005631A8" w:rsidRPr="005631A8" w:rsidRDefault="005631A8" w:rsidP="00A3257B">
      <w:r>
        <w:t>Erwärmen sich die Meere weiterhin, werden Sie immer weniger CO</w:t>
      </w:r>
      <w:r>
        <w:rPr>
          <w:vertAlign w:val="subscript"/>
        </w:rPr>
        <w:t>2</w:t>
      </w:r>
      <w:r>
        <w:t xml:space="preserve"> speichern können, und immer mehr CO</w:t>
      </w:r>
      <w:r>
        <w:rPr>
          <w:vertAlign w:val="subscript"/>
        </w:rPr>
        <w:t>2</w:t>
      </w:r>
      <w:r>
        <w:t xml:space="preserve"> wird in der Atmosphäre verbleiben.</w:t>
      </w:r>
    </w:p>
    <w:p w14:paraId="6BCDEC6E" w14:textId="370914C1" w:rsidR="00083F8C" w:rsidRPr="00337E54" w:rsidRDefault="00083F8C" w:rsidP="000C1F4F">
      <w:pPr>
        <w:pStyle w:val="berschrift1"/>
      </w:pPr>
      <w:bookmarkStart w:id="6" w:name="_Toc466017415"/>
      <w:r w:rsidRPr="00337E54">
        <w:lastRenderedPageBreak/>
        <w:t>A</w:t>
      </w:r>
      <w:r w:rsidR="001537BE" w:rsidRPr="00337E54">
        <w:t>uswertung der Aufgaben</w:t>
      </w:r>
      <w:bookmarkEnd w:id="6"/>
    </w:p>
    <w:p w14:paraId="60C93E61" w14:textId="2CE59012" w:rsidR="001537BE" w:rsidRDefault="001537BE" w:rsidP="00C3239F">
      <w:pPr>
        <w:pStyle w:val="berschrift2"/>
      </w:pPr>
      <w:bookmarkStart w:id="7" w:name="_Toc466017416"/>
      <w:r>
        <w:t>Fragen</w:t>
      </w:r>
      <w:bookmarkEnd w:id="7"/>
    </w:p>
    <w:p w14:paraId="648F3149" w14:textId="77777777" w:rsidR="001537BE" w:rsidRPr="001743C1" w:rsidRDefault="001537BE" w:rsidP="000C1F4F">
      <w:pPr>
        <w:spacing w:line="276" w:lineRule="auto"/>
      </w:pPr>
    </w:p>
    <w:p w14:paraId="6462AF69" w14:textId="00891B7D" w:rsidR="001537BE" w:rsidRPr="00E27AB6" w:rsidRDefault="001537BE" w:rsidP="000C1F4F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rial"/>
          <w:bCs/>
        </w:rPr>
      </w:pPr>
      <w:r w:rsidRPr="00E27AB6">
        <w:rPr>
          <w:rFonts w:cs="Arial"/>
          <w:bCs/>
        </w:rPr>
        <w:t>Vergleicht die beiden Luftballons. Wie unterscheiden Sie sich</w:t>
      </w:r>
      <w:r w:rsidR="005631A8" w:rsidRPr="00E27AB6">
        <w:rPr>
          <w:rFonts w:cs="Arial"/>
          <w:bCs/>
        </w:rPr>
        <w:t xml:space="preserve"> und warum?</w:t>
      </w:r>
    </w:p>
    <w:p w14:paraId="460C3817" w14:textId="5FD34012" w:rsidR="005524BC" w:rsidRPr="00E27AB6" w:rsidRDefault="005524BC" w:rsidP="00E27AB6">
      <w:pPr>
        <w:autoSpaceDE w:val="0"/>
        <w:autoSpaceDN w:val="0"/>
        <w:adjustRightInd w:val="0"/>
        <w:spacing w:line="276" w:lineRule="auto"/>
        <w:ind w:left="360"/>
        <w:rPr>
          <w:rFonts w:cs="Arial"/>
          <w:bCs/>
          <w:color w:val="1F497D" w:themeColor="text2"/>
          <w:u w:val="single"/>
        </w:rPr>
      </w:pPr>
      <w:r w:rsidRPr="00E27AB6">
        <w:rPr>
          <w:rFonts w:cs="Arial"/>
          <w:bCs/>
          <w:color w:val="1F497D" w:themeColor="text2"/>
          <w:u w:val="single"/>
        </w:rPr>
        <w:t xml:space="preserve">Der Luftballon </w:t>
      </w:r>
      <w:r w:rsidR="005631A8" w:rsidRPr="00E27AB6">
        <w:rPr>
          <w:rFonts w:cs="Arial"/>
          <w:bCs/>
          <w:color w:val="1F497D" w:themeColor="text2"/>
          <w:u w:val="single"/>
        </w:rPr>
        <w:t xml:space="preserve">auf </w:t>
      </w:r>
      <w:r w:rsidRPr="00E27AB6">
        <w:rPr>
          <w:rFonts w:cs="Arial"/>
          <w:bCs/>
          <w:color w:val="1F497D" w:themeColor="text2"/>
          <w:u w:val="single"/>
        </w:rPr>
        <w:t>der warmen Flasche ist deutlicher größer aufgeblasen</w:t>
      </w:r>
      <w:r w:rsidR="005631A8" w:rsidRPr="00E27AB6">
        <w:rPr>
          <w:rFonts w:cs="Arial"/>
          <w:bCs/>
          <w:color w:val="1F497D" w:themeColor="text2"/>
          <w:u w:val="single"/>
        </w:rPr>
        <w:t>,</w:t>
      </w:r>
      <w:r w:rsidRPr="00E27AB6">
        <w:rPr>
          <w:rFonts w:cs="Arial"/>
          <w:bCs/>
          <w:color w:val="1F497D" w:themeColor="text2"/>
          <w:u w:val="single"/>
        </w:rPr>
        <w:t xml:space="preserve"> als der </w:t>
      </w:r>
      <w:r w:rsidR="005631A8" w:rsidRPr="00E27AB6">
        <w:rPr>
          <w:rFonts w:cs="Arial"/>
          <w:bCs/>
          <w:color w:val="1F497D" w:themeColor="text2"/>
          <w:u w:val="single"/>
        </w:rPr>
        <w:t xml:space="preserve">Luftballon auf der </w:t>
      </w:r>
      <w:r w:rsidRPr="00E27AB6">
        <w:rPr>
          <w:rFonts w:cs="Arial"/>
          <w:bCs/>
          <w:color w:val="1F497D" w:themeColor="text2"/>
          <w:u w:val="single"/>
        </w:rPr>
        <w:t>kalte</w:t>
      </w:r>
      <w:r w:rsidR="005631A8" w:rsidRPr="00E27AB6">
        <w:rPr>
          <w:rFonts w:cs="Arial"/>
          <w:bCs/>
          <w:color w:val="1F497D" w:themeColor="text2"/>
          <w:u w:val="single"/>
        </w:rPr>
        <w:t xml:space="preserve">n Flasche, </w:t>
      </w:r>
      <w:r w:rsidRPr="00E27AB6">
        <w:rPr>
          <w:rFonts w:cs="Arial"/>
          <w:bCs/>
          <w:color w:val="1F497D" w:themeColor="text2"/>
          <w:u w:val="single"/>
        </w:rPr>
        <w:t>da kaltes Wasser mehr CO</w:t>
      </w:r>
      <w:r w:rsidRPr="00E27AB6">
        <w:rPr>
          <w:rFonts w:cs="Arial"/>
          <w:bCs/>
          <w:color w:val="1F497D" w:themeColor="text2"/>
          <w:u w:val="single"/>
          <w:vertAlign w:val="subscript"/>
        </w:rPr>
        <w:t>2</w:t>
      </w:r>
      <w:r w:rsidRPr="00E27AB6">
        <w:rPr>
          <w:rFonts w:cs="Arial"/>
          <w:bCs/>
          <w:color w:val="1F497D" w:themeColor="text2"/>
          <w:u w:val="single"/>
        </w:rPr>
        <w:t xml:space="preserve"> speichern kann.</w:t>
      </w:r>
    </w:p>
    <w:p w14:paraId="21C72BF0" w14:textId="77777777" w:rsidR="00FD6E99" w:rsidRPr="00FD6E99" w:rsidRDefault="00FD6E99" w:rsidP="000C1F4F">
      <w:pPr>
        <w:autoSpaceDE w:val="0"/>
        <w:autoSpaceDN w:val="0"/>
        <w:adjustRightInd w:val="0"/>
        <w:spacing w:line="276" w:lineRule="auto"/>
        <w:ind w:left="567"/>
        <w:rPr>
          <w:rFonts w:cs="Arial"/>
          <w:b/>
          <w:bCs/>
        </w:rPr>
      </w:pPr>
    </w:p>
    <w:p w14:paraId="38F02C95" w14:textId="6E348369" w:rsidR="001537BE" w:rsidRPr="00E27AB6" w:rsidRDefault="001537BE" w:rsidP="000C1F4F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rial"/>
          <w:bCs/>
        </w:rPr>
      </w:pPr>
      <w:r w:rsidRPr="00E27AB6">
        <w:rPr>
          <w:rFonts w:cs="Arial"/>
          <w:bCs/>
        </w:rPr>
        <w:t xml:space="preserve">Wo auf der Erde wirken ähnliche Temperaturen </w:t>
      </w:r>
      <w:r w:rsidR="005631A8" w:rsidRPr="00E27AB6">
        <w:rPr>
          <w:rFonts w:cs="Arial"/>
          <w:bCs/>
        </w:rPr>
        <w:t xml:space="preserve">wie in unserem Versuch </w:t>
      </w:r>
      <w:r w:rsidRPr="00E27AB6">
        <w:rPr>
          <w:rFonts w:cs="Arial"/>
          <w:bCs/>
        </w:rPr>
        <w:t>auf das Meer?</w:t>
      </w:r>
    </w:p>
    <w:p w14:paraId="5DD09342" w14:textId="2499325E" w:rsidR="005524BC" w:rsidRDefault="005524BC" w:rsidP="00E27AB6">
      <w:pPr>
        <w:autoSpaceDE w:val="0"/>
        <w:autoSpaceDN w:val="0"/>
        <w:adjustRightInd w:val="0"/>
        <w:spacing w:line="276" w:lineRule="auto"/>
        <w:ind w:left="360"/>
        <w:rPr>
          <w:rFonts w:cs="Arial"/>
          <w:bCs/>
          <w:color w:val="1F497D" w:themeColor="text2"/>
          <w:u w:val="single"/>
        </w:rPr>
      </w:pPr>
      <w:r w:rsidRPr="005524BC">
        <w:rPr>
          <w:rFonts w:cs="Arial"/>
          <w:bCs/>
          <w:color w:val="1F497D" w:themeColor="text2"/>
          <w:u w:val="single"/>
        </w:rPr>
        <w:t>In der Nähe des Äquators herrschen warme Bedingungen und an den Polen kalte Umgebungsbedingungen</w:t>
      </w:r>
      <w:r w:rsidR="005631A8">
        <w:rPr>
          <w:rFonts w:cs="Arial"/>
          <w:bCs/>
          <w:color w:val="1F497D" w:themeColor="text2"/>
          <w:u w:val="single"/>
        </w:rPr>
        <w:t>.</w:t>
      </w:r>
    </w:p>
    <w:p w14:paraId="7C649F63" w14:textId="77777777" w:rsidR="005631A8" w:rsidRPr="005524BC" w:rsidRDefault="005631A8" w:rsidP="000C1F4F">
      <w:pPr>
        <w:autoSpaceDE w:val="0"/>
        <w:autoSpaceDN w:val="0"/>
        <w:adjustRightInd w:val="0"/>
        <w:spacing w:line="276" w:lineRule="auto"/>
        <w:ind w:left="720"/>
        <w:rPr>
          <w:rFonts w:cs="Arial"/>
          <w:b/>
          <w:bCs/>
          <w:color w:val="1F497D" w:themeColor="text2"/>
          <w:u w:val="single"/>
        </w:rPr>
      </w:pPr>
    </w:p>
    <w:p w14:paraId="70EB1702" w14:textId="77777777" w:rsidR="001537BE" w:rsidRPr="00E27AB6" w:rsidRDefault="001537BE" w:rsidP="000C1F4F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rial"/>
          <w:bCs/>
        </w:rPr>
      </w:pPr>
      <w:r w:rsidRPr="00E27AB6">
        <w:rPr>
          <w:rFonts w:cs="Arial"/>
          <w:bCs/>
        </w:rPr>
        <w:t>Wie unterscheidet sich die CO</w:t>
      </w:r>
      <w:r w:rsidRPr="00E27AB6">
        <w:rPr>
          <w:rFonts w:cs="Arial"/>
          <w:bCs/>
          <w:vertAlign w:val="subscript"/>
        </w:rPr>
        <w:t>2</w:t>
      </w:r>
      <w:r w:rsidRPr="00E27AB6">
        <w:rPr>
          <w:rFonts w:cs="Arial"/>
          <w:bCs/>
        </w:rPr>
        <w:t>-Löslichkeit in warmer und in kalter Umgebung?</w:t>
      </w:r>
    </w:p>
    <w:p w14:paraId="771EA0DD" w14:textId="77777777" w:rsidR="005524BC" w:rsidRPr="00E27AB6" w:rsidRDefault="005524BC" w:rsidP="00E27AB6">
      <w:pPr>
        <w:autoSpaceDE w:val="0"/>
        <w:autoSpaceDN w:val="0"/>
        <w:adjustRightInd w:val="0"/>
        <w:spacing w:line="276" w:lineRule="auto"/>
        <w:ind w:firstLine="360"/>
        <w:rPr>
          <w:rFonts w:cs="Arial"/>
          <w:bCs/>
          <w:color w:val="548DD4" w:themeColor="text2" w:themeTint="99"/>
          <w:u w:val="single"/>
        </w:rPr>
      </w:pPr>
      <w:r w:rsidRPr="00E27AB6">
        <w:rPr>
          <w:rFonts w:cs="Arial"/>
          <w:bCs/>
          <w:color w:val="1F497D" w:themeColor="text2"/>
          <w:u w:val="single"/>
        </w:rPr>
        <w:t>Warmes Wasser kann weniger CO</w:t>
      </w:r>
      <w:r w:rsidRPr="00E27AB6">
        <w:rPr>
          <w:rFonts w:cs="Arial"/>
          <w:bCs/>
          <w:color w:val="1F497D" w:themeColor="text2"/>
          <w:u w:val="single"/>
          <w:vertAlign w:val="subscript"/>
        </w:rPr>
        <w:t>2</w:t>
      </w:r>
      <w:r w:rsidRPr="00E27AB6">
        <w:rPr>
          <w:rFonts w:cs="Arial"/>
          <w:bCs/>
          <w:color w:val="1F497D" w:themeColor="text2"/>
          <w:u w:val="single"/>
        </w:rPr>
        <w:t xml:space="preserve"> aufnehmen als kaltes Wasser. </w:t>
      </w:r>
    </w:p>
    <w:p w14:paraId="12B88505" w14:textId="77777777" w:rsidR="005524BC" w:rsidRPr="005524BC" w:rsidRDefault="005524BC" w:rsidP="000C1F4F">
      <w:pPr>
        <w:autoSpaceDE w:val="0"/>
        <w:autoSpaceDN w:val="0"/>
        <w:adjustRightInd w:val="0"/>
        <w:spacing w:line="276" w:lineRule="auto"/>
        <w:ind w:left="720"/>
        <w:rPr>
          <w:rFonts w:cs="Arial"/>
          <w:b/>
          <w:bCs/>
        </w:rPr>
      </w:pPr>
    </w:p>
    <w:p w14:paraId="05DEA17D" w14:textId="77777777" w:rsidR="001537BE" w:rsidRPr="00E27AB6" w:rsidRDefault="001537BE" w:rsidP="000C1F4F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cs="Arial"/>
          <w:bCs/>
        </w:rPr>
      </w:pPr>
      <w:r w:rsidRPr="00E27AB6">
        <w:rPr>
          <w:rFonts w:cs="Arial"/>
          <w:bCs/>
        </w:rPr>
        <w:t>Welche Auswirkung hat demnach die Erderwärmung auf die CO</w:t>
      </w:r>
      <w:r w:rsidRPr="00E27AB6">
        <w:rPr>
          <w:rFonts w:cs="Arial"/>
          <w:bCs/>
          <w:vertAlign w:val="subscript"/>
        </w:rPr>
        <w:t>2</w:t>
      </w:r>
      <w:r w:rsidRPr="00E27AB6">
        <w:rPr>
          <w:rFonts w:cs="Arial"/>
          <w:bCs/>
        </w:rPr>
        <w:t>-Löslichkeit im Meer?</w:t>
      </w:r>
    </w:p>
    <w:p w14:paraId="0A40C4D9" w14:textId="5358DDD7" w:rsidR="005524BC" w:rsidRPr="00E27AB6" w:rsidRDefault="005524BC" w:rsidP="00E27AB6">
      <w:pPr>
        <w:autoSpaceDE w:val="0"/>
        <w:autoSpaceDN w:val="0"/>
        <w:adjustRightInd w:val="0"/>
        <w:spacing w:line="276" w:lineRule="auto"/>
        <w:ind w:left="360"/>
        <w:rPr>
          <w:rFonts w:cs="Arial"/>
          <w:bCs/>
          <w:color w:val="548DD4" w:themeColor="text2" w:themeTint="99"/>
          <w:u w:val="single"/>
        </w:rPr>
      </w:pPr>
      <w:r w:rsidRPr="00E27AB6">
        <w:rPr>
          <w:rFonts w:cs="Arial"/>
          <w:bCs/>
          <w:color w:val="1F497D" w:themeColor="text2"/>
          <w:u w:val="single"/>
        </w:rPr>
        <w:t>Je wärmer die Meere werden, desto weniger CO</w:t>
      </w:r>
      <w:r w:rsidRPr="00E27AB6">
        <w:rPr>
          <w:rFonts w:cs="Arial"/>
          <w:bCs/>
          <w:color w:val="1F497D" w:themeColor="text2"/>
          <w:u w:val="single"/>
          <w:vertAlign w:val="subscript"/>
        </w:rPr>
        <w:t>2</w:t>
      </w:r>
      <w:r w:rsidRPr="00E27AB6">
        <w:rPr>
          <w:rFonts w:cs="Arial"/>
          <w:bCs/>
          <w:color w:val="1F497D" w:themeColor="text2"/>
          <w:u w:val="single"/>
        </w:rPr>
        <w:t xml:space="preserve"> können sie speichern und desto mehr CO</w:t>
      </w:r>
      <w:r w:rsidRPr="00E27AB6">
        <w:rPr>
          <w:rFonts w:cs="Arial"/>
          <w:bCs/>
          <w:color w:val="1F497D" w:themeColor="text2"/>
          <w:u w:val="single"/>
          <w:vertAlign w:val="subscript"/>
        </w:rPr>
        <w:t>2</w:t>
      </w:r>
      <w:r w:rsidRPr="00E27AB6">
        <w:rPr>
          <w:rFonts w:cs="Arial"/>
          <w:bCs/>
          <w:color w:val="1F497D" w:themeColor="text2"/>
          <w:u w:val="single"/>
        </w:rPr>
        <w:t xml:space="preserve"> sammelt sich in der Atmosphäre an.</w:t>
      </w:r>
    </w:p>
    <w:p w14:paraId="44214208" w14:textId="2508B62F" w:rsidR="00DA6CF5" w:rsidRPr="005027E9" w:rsidRDefault="001537BE" w:rsidP="00AB0A5C">
      <w:pPr>
        <w:pStyle w:val="Listenabsatz"/>
        <w:keepNext/>
        <w:numPr>
          <w:ilvl w:val="0"/>
          <w:numId w:val="29"/>
        </w:numPr>
        <w:autoSpaceDE w:val="0"/>
        <w:autoSpaceDN w:val="0"/>
        <w:adjustRightInd w:val="0"/>
        <w:spacing w:line="276" w:lineRule="auto"/>
      </w:pPr>
      <w:r w:rsidRPr="00E27AB6">
        <w:rPr>
          <w:rFonts w:cs="Arial"/>
          <w:bCs/>
        </w:rPr>
        <w:t>Versucht die Ergebnis</w:t>
      </w:r>
      <w:r w:rsidR="005631A8" w:rsidRPr="00E27AB6">
        <w:rPr>
          <w:rFonts w:cs="Arial"/>
          <w:bCs/>
        </w:rPr>
        <w:t>se</w:t>
      </w:r>
      <w:r w:rsidRPr="00E27AB6">
        <w:rPr>
          <w:rFonts w:cs="Arial"/>
          <w:bCs/>
        </w:rPr>
        <w:t xml:space="preserve"> aus </w:t>
      </w:r>
      <w:r w:rsidR="00DA6CF5" w:rsidRPr="00E27AB6">
        <w:rPr>
          <w:rFonts w:cs="Arial"/>
          <w:bCs/>
        </w:rPr>
        <w:t>Frage</w:t>
      </w:r>
      <w:r w:rsidRPr="00E27AB6">
        <w:rPr>
          <w:rFonts w:cs="Arial"/>
          <w:bCs/>
        </w:rPr>
        <w:t xml:space="preserve"> 4 </w:t>
      </w:r>
      <w:r w:rsidR="0021666D" w:rsidRPr="00E27AB6">
        <w:rPr>
          <w:rFonts w:cs="Arial"/>
          <w:bCs/>
        </w:rPr>
        <w:t xml:space="preserve">qualitativ </w:t>
      </w:r>
      <w:r w:rsidRPr="00E27AB6">
        <w:rPr>
          <w:rFonts w:cs="Arial"/>
          <w:bCs/>
        </w:rPr>
        <w:t xml:space="preserve">in dem untenstehenden Diagramm zu veranschaulichen </w:t>
      </w:r>
    </w:p>
    <w:p w14:paraId="5912734A" w14:textId="24AFA098" w:rsidR="00AB0A5C" w:rsidRDefault="001537BE" w:rsidP="00DA6CF5">
      <w:pPr>
        <w:keepNext/>
        <w:autoSpaceDE w:val="0"/>
        <w:autoSpaceDN w:val="0"/>
        <w:adjustRightInd w:val="0"/>
        <w:spacing w:line="276" w:lineRule="auto"/>
        <w:ind w:left="360"/>
        <w:jc w:val="center"/>
      </w:pPr>
      <w:r w:rsidRPr="00DA6CF5">
        <w:rPr>
          <w:rFonts w:cs="Arial"/>
          <w:bCs/>
          <w:color w:val="548DD4" w:themeColor="text2" w:themeTint="99"/>
        </w:rPr>
        <w:br/>
      </w:r>
      <w:r w:rsidR="002A6ECF">
        <w:rPr>
          <w:noProof/>
        </w:rPr>
        <w:drawing>
          <wp:inline distT="0" distB="0" distL="0" distR="0" wp14:anchorId="0A16FC47" wp14:editId="2ED8E5D1">
            <wp:extent cx="5478145" cy="2495550"/>
            <wp:effectExtent l="0" t="0" r="825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8" w:name="_GoBack"/>
      <w:bookmarkEnd w:id="8"/>
    </w:p>
    <w:p w14:paraId="5E1C17D7" w14:textId="726AB860" w:rsidR="00E27AB6" w:rsidRDefault="00AB0A5C" w:rsidP="002A6ECF">
      <w:pPr>
        <w:pStyle w:val="Beschriftung"/>
        <w:jc w:val="center"/>
        <w:rPr>
          <w:sz w:val="20"/>
        </w:rPr>
      </w:pPr>
      <w:r w:rsidRPr="00E27AB6">
        <w:rPr>
          <w:sz w:val="20"/>
        </w:rPr>
        <w:t xml:space="preserve">Abbildung </w:t>
      </w:r>
      <w:r w:rsidR="00C33487" w:rsidRPr="00E27AB6">
        <w:rPr>
          <w:sz w:val="20"/>
        </w:rPr>
        <w:fldChar w:fldCharType="begin"/>
      </w:r>
      <w:r w:rsidR="00C33487" w:rsidRPr="00E27AB6">
        <w:rPr>
          <w:sz w:val="20"/>
        </w:rPr>
        <w:instrText xml:space="preserve"> SEQ Abbildung \* ARABIC </w:instrText>
      </w:r>
      <w:r w:rsidR="00C33487" w:rsidRPr="00E27AB6">
        <w:rPr>
          <w:sz w:val="20"/>
        </w:rPr>
        <w:fldChar w:fldCharType="separate"/>
      </w:r>
      <w:r w:rsidR="003B28B0">
        <w:rPr>
          <w:noProof/>
          <w:sz w:val="20"/>
        </w:rPr>
        <w:t>3</w:t>
      </w:r>
      <w:r w:rsidR="00C33487" w:rsidRPr="00E27AB6">
        <w:rPr>
          <w:noProof/>
          <w:sz w:val="20"/>
        </w:rPr>
        <w:fldChar w:fldCharType="end"/>
      </w:r>
      <w:r w:rsidRPr="00E27AB6">
        <w:rPr>
          <w:sz w:val="20"/>
        </w:rPr>
        <w:t>: Löslichkeit von Kohlenstoff</w:t>
      </w:r>
      <w:r w:rsidR="00B64E97" w:rsidRPr="00E27AB6">
        <w:rPr>
          <w:sz w:val="20"/>
        </w:rPr>
        <w:t>dioxid in Wasser bei Normaldruck</w:t>
      </w:r>
    </w:p>
    <w:p w14:paraId="033040DA" w14:textId="7C4177B6" w:rsidR="002A6ECF" w:rsidRDefault="002A6ECF" w:rsidP="002A6ECF"/>
    <w:p w14:paraId="769A7B79" w14:textId="77777777" w:rsidR="002A6ECF" w:rsidRPr="002A6ECF" w:rsidRDefault="002A6ECF" w:rsidP="002A6ECF"/>
    <w:p w14:paraId="730B2D66" w14:textId="77777777" w:rsidR="00E27AB6" w:rsidRPr="00E27AB6" w:rsidRDefault="00E27AB6" w:rsidP="00E27AB6"/>
    <w:p w14:paraId="574A6C67" w14:textId="710578E5" w:rsidR="00BA01CC" w:rsidRDefault="00BA01CC" w:rsidP="00C3239F">
      <w:pPr>
        <w:pStyle w:val="berschrift2"/>
      </w:pPr>
      <w:bookmarkStart w:id="9" w:name="_Toc453859512"/>
      <w:bookmarkStart w:id="10" w:name="_Toc466017417"/>
      <w:r>
        <w:lastRenderedPageBreak/>
        <w:t>Begriffskarten</w:t>
      </w:r>
      <w:bookmarkEnd w:id="9"/>
      <w:bookmarkEnd w:id="10"/>
    </w:p>
    <w:p w14:paraId="5D2D948A" w14:textId="77777777" w:rsidR="00BA01CC" w:rsidRPr="00FD7CBD" w:rsidRDefault="00BA01CC" w:rsidP="000C1F4F">
      <w:pPr>
        <w:spacing w:line="276" w:lineRule="auto"/>
      </w:pPr>
      <w:r>
        <w:t>Begriffskarten dienen der inhaltlichen Aufbereitung durch die gemeinsame Formulierung eines kurzen Informationstextes (oder Redebeitrags) durch die SchülerInnen in Gruppenarbeit. Jeder/jede SchülerIn bekommt einen Begriff, zu dem eine Aussage unterzubringen ist. Eine Einigung zur Reihenfolge und zur Gesamtaussage des Beitrags erfolgt in Gruppendiskussion.</w:t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BA01CC" w14:paraId="46624F41" w14:textId="77777777" w:rsidTr="00F92137"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6C44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Variante 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E4964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Variante B</w:t>
            </w:r>
          </w:p>
        </w:tc>
      </w:tr>
      <w:tr w:rsidR="00BA01CC" w14:paraId="295DCB34" w14:textId="77777777" w:rsidTr="00F92137">
        <w:tc>
          <w:tcPr>
            <w:tcW w:w="4605" w:type="dxa"/>
          </w:tcPr>
          <w:p w14:paraId="448746DB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CO</w:t>
            </w:r>
            <w:r w:rsidRPr="00FD7CBD">
              <w:rPr>
                <w:vertAlign w:val="subscript"/>
              </w:rPr>
              <w:t>2</w:t>
            </w:r>
            <w:r>
              <w:t>-Speicherkapazität</w:t>
            </w:r>
          </w:p>
        </w:tc>
        <w:tc>
          <w:tcPr>
            <w:tcW w:w="4605" w:type="dxa"/>
          </w:tcPr>
          <w:p w14:paraId="14B61C06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Absorption</w:t>
            </w:r>
          </w:p>
        </w:tc>
      </w:tr>
      <w:tr w:rsidR="00BA01CC" w14:paraId="24F486E3" w14:textId="77777777" w:rsidTr="00F92137">
        <w:tc>
          <w:tcPr>
            <w:tcW w:w="4605" w:type="dxa"/>
          </w:tcPr>
          <w:p w14:paraId="0E494623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Kaltes Wasser</w:t>
            </w:r>
          </w:p>
        </w:tc>
        <w:tc>
          <w:tcPr>
            <w:tcW w:w="4605" w:type="dxa"/>
          </w:tcPr>
          <w:p w14:paraId="2C1461B1" w14:textId="77777777" w:rsidR="00BA01CC" w:rsidRPr="00FB011D" w:rsidRDefault="00BA01CC" w:rsidP="000C1F4F">
            <w:pPr>
              <w:spacing w:before="240" w:after="240" w:line="276" w:lineRule="auto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BA01CC" w14:paraId="0ADB6116" w14:textId="77777777" w:rsidTr="00F92137">
        <w:tc>
          <w:tcPr>
            <w:tcW w:w="4605" w:type="dxa"/>
          </w:tcPr>
          <w:p w14:paraId="53E78629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Erderwärmung</w:t>
            </w:r>
          </w:p>
        </w:tc>
        <w:tc>
          <w:tcPr>
            <w:tcW w:w="4605" w:type="dxa"/>
          </w:tcPr>
          <w:p w14:paraId="7412A89C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Temperaturanstieg</w:t>
            </w:r>
          </w:p>
        </w:tc>
      </w:tr>
      <w:tr w:rsidR="00BA01CC" w14:paraId="7E4B1CC6" w14:textId="77777777" w:rsidTr="00F92137">
        <w:tc>
          <w:tcPr>
            <w:tcW w:w="4605" w:type="dxa"/>
          </w:tcPr>
          <w:p w14:paraId="1D283893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Temperaturabhängigkeit</w:t>
            </w:r>
          </w:p>
        </w:tc>
        <w:tc>
          <w:tcPr>
            <w:tcW w:w="4605" w:type="dxa"/>
          </w:tcPr>
          <w:p w14:paraId="2B0F1FFE" w14:textId="452B4C1A" w:rsidR="00BA01CC" w:rsidRDefault="00592695" w:rsidP="000C1F4F">
            <w:pPr>
              <w:spacing w:before="240" w:after="240" w:line="276" w:lineRule="auto"/>
              <w:jc w:val="center"/>
            </w:pPr>
            <w:r>
              <w:t>Kapazitäts</w:t>
            </w:r>
            <w:r w:rsidR="00BA01CC">
              <w:t>grenze</w:t>
            </w:r>
          </w:p>
        </w:tc>
      </w:tr>
      <w:tr w:rsidR="00BA01CC" w14:paraId="44CE78F7" w14:textId="77777777" w:rsidTr="00F92137">
        <w:tc>
          <w:tcPr>
            <w:tcW w:w="4605" w:type="dxa"/>
          </w:tcPr>
          <w:p w14:paraId="229BDF67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Aufnahmekapazität</w:t>
            </w:r>
          </w:p>
        </w:tc>
        <w:tc>
          <w:tcPr>
            <w:tcW w:w="4605" w:type="dxa"/>
          </w:tcPr>
          <w:p w14:paraId="50D6357A" w14:textId="77777777" w:rsidR="00BA01CC" w:rsidRDefault="00BA01CC" w:rsidP="000C1F4F">
            <w:pPr>
              <w:spacing w:before="240" w:after="240" w:line="276" w:lineRule="auto"/>
              <w:jc w:val="center"/>
            </w:pPr>
            <w:r>
              <w:t>Warmes Wasser</w:t>
            </w:r>
          </w:p>
        </w:tc>
      </w:tr>
    </w:tbl>
    <w:p w14:paraId="435856CF" w14:textId="3802B525" w:rsidR="006D264B" w:rsidRDefault="006D264B" w:rsidP="003B28B0">
      <w:pPr>
        <w:rPr>
          <w:rFonts w:eastAsiaTheme="majorEastAsia"/>
          <w:lang w:eastAsia="en-US"/>
        </w:rPr>
      </w:pPr>
    </w:p>
    <w:p w14:paraId="312D928D" w14:textId="497AADF2" w:rsidR="00083F8C" w:rsidRDefault="00A30782" w:rsidP="00A30782">
      <w:pPr>
        <w:pStyle w:val="berschrift1"/>
      </w:pPr>
      <w:bookmarkStart w:id="11" w:name="_Toc466017418"/>
      <w:r>
        <w:t>Glossar</w:t>
      </w:r>
      <w:bookmarkEnd w:id="11"/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A30782" w14:paraId="5AD5D863" w14:textId="77777777" w:rsidTr="002A5E7E">
        <w:tc>
          <w:tcPr>
            <w:tcW w:w="2547" w:type="dxa"/>
          </w:tcPr>
          <w:p w14:paraId="5323B0B5" w14:textId="49DA43EF" w:rsidR="00A30782" w:rsidRPr="00A30782" w:rsidRDefault="00A30782" w:rsidP="00587AF9">
            <w:pPr>
              <w:spacing w:before="40" w:line="276" w:lineRule="auto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-Löslichkeit</w:t>
            </w:r>
          </w:p>
        </w:tc>
        <w:tc>
          <w:tcPr>
            <w:tcW w:w="6513" w:type="dxa"/>
          </w:tcPr>
          <w:p w14:paraId="1B3EFF53" w14:textId="268423FB" w:rsidR="00A30782" w:rsidRPr="003075DF" w:rsidRDefault="003075DF" w:rsidP="00587AF9">
            <w:pPr>
              <w:spacing w:before="40" w:line="276" w:lineRule="auto"/>
            </w:pPr>
            <w:r>
              <w:t>Je höher die Temperatur, desto weniger CO</w:t>
            </w:r>
            <w:r>
              <w:rPr>
                <w:vertAlign w:val="subscript"/>
              </w:rPr>
              <w:t>2</w:t>
            </w:r>
            <w:r>
              <w:t xml:space="preserve"> löst sich im Wasser. Je höher der Druck, desto mehr CO</w:t>
            </w:r>
            <w:r>
              <w:rPr>
                <w:vertAlign w:val="subscript"/>
              </w:rPr>
              <w:t xml:space="preserve">2 </w:t>
            </w:r>
            <w:r>
              <w:t>löst sich im Wasser.</w:t>
            </w:r>
            <w:r w:rsidR="00AB0A5C">
              <w:t xml:space="preserve"> Die Sättigungskonzentration ist proportional zum Partialdruck im Gasraum, die verbindende Konstante wird als Gaslöslichkeit bezeichnet.</w:t>
            </w:r>
          </w:p>
        </w:tc>
      </w:tr>
      <w:tr w:rsidR="00A30782" w14:paraId="6FE124CC" w14:textId="77777777" w:rsidTr="002A5E7E">
        <w:tc>
          <w:tcPr>
            <w:tcW w:w="2547" w:type="dxa"/>
          </w:tcPr>
          <w:p w14:paraId="58DB2182" w14:textId="04407159" w:rsidR="00A30782" w:rsidRDefault="00AB0A5C" w:rsidP="00587AF9">
            <w:pPr>
              <w:spacing w:before="40" w:line="276" w:lineRule="auto"/>
            </w:pPr>
            <w:r>
              <w:t>Absorption</w:t>
            </w:r>
          </w:p>
        </w:tc>
        <w:tc>
          <w:tcPr>
            <w:tcW w:w="6513" w:type="dxa"/>
          </w:tcPr>
          <w:p w14:paraId="69A1665E" w14:textId="3482D4DF" w:rsidR="00A30782" w:rsidRDefault="00AB0A5C" w:rsidP="00587AF9">
            <w:pPr>
              <w:spacing w:before="40" w:line="276" w:lineRule="auto"/>
            </w:pPr>
            <w:r>
              <w:t>Aufnahme eines Atoms oder Moleküls in das freie Volumen einer anderen Phase</w:t>
            </w:r>
          </w:p>
        </w:tc>
      </w:tr>
      <w:tr w:rsidR="00A30782" w14:paraId="2BF12293" w14:textId="77777777" w:rsidTr="002A5E7E">
        <w:tc>
          <w:tcPr>
            <w:tcW w:w="2547" w:type="dxa"/>
          </w:tcPr>
          <w:p w14:paraId="2B4DA198" w14:textId="77777777" w:rsidR="00A30782" w:rsidRDefault="00A30782" w:rsidP="00587AF9">
            <w:pPr>
              <w:spacing w:before="40" w:line="276" w:lineRule="auto"/>
            </w:pPr>
            <w:r>
              <w:t>Dichte</w:t>
            </w:r>
          </w:p>
        </w:tc>
        <w:tc>
          <w:tcPr>
            <w:tcW w:w="6513" w:type="dxa"/>
          </w:tcPr>
          <w:p w14:paraId="5C3D04E1" w14:textId="77777777" w:rsidR="00A30782" w:rsidRDefault="00A30782" w:rsidP="00587AF9">
            <w:pPr>
              <w:spacing w:before="40" w:line="276" w:lineRule="auto"/>
            </w:pPr>
            <w:r>
              <w:t>Gewicht pro Volumen, physikalische Einheit: kg/m</w:t>
            </w:r>
            <w:r w:rsidRPr="00A8400B">
              <w:rPr>
                <w:vertAlign w:val="superscript"/>
              </w:rPr>
              <w:t>3</w:t>
            </w:r>
            <w:r>
              <w:t>, Stoffeigenschaft, Kehrwert vom spezifischen Volumen</w:t>
            </w:r>
          </w:p>
        </w:tc>
      </w:tr>
      <w:tr w:rsidR="00A30782" w14:paraId="5AFDFC53" w14:textId="77777777" w:rsidTr="002A5E7E">
        <w:tc>
          <w:tcPr>
            <w:tcW w:w="2547" w:type="dxa"/>
          </w:tcPr>
          <w:p w14:paraId="5CC83E63" w14:textId="77777777" w:rsidR="00A30782" w:rsidRDefault="00A30782" w:rsidP="00587AF9">
            <w:pPr>
              <w:spacing w:before="40" w:line="276" w:lineRule="auto"/>
            </w:pPr>
            <w:r>
              <w:t>Dichteanomalie von Wasser</w:t>
            </w:r>
          </w:p>
        </w:tc>
        <w:tc>
          <w:tcPr>
            <w:tcW w:w="6513" w:type="dxa"/>
          </w:tcPr>
          <w:p w14:paraId="090E45C4" w14:textId="5B2153EE" w:rsidR="00A30782" w:rsidRDefault="005631A8" w:rsidP="00587AF9">
            <w:pPr>
              <w:spacing w:before="40" w:line="276" w:lineRule="auto"/>
            </w:pPr>
            <w:r>
              <w:t>D</w:t>
            </w:r>
            <w:r w:rsidR="00A30782">
              <w:t>ie Dichte verändert sich nicht über alle Temperaturbereiche gleichmäßig, Wasser hat seine höchste Dichte bei 4 °C</w:t>
            </w:r>
            <w:r>
              <w:t>.</w:t>
            </w:r>
          </w:p>
          <w:p w14:paraId="039735F7" w14:textId="798DC254" w:rsidR="00A30782" w:rsidRDefault="005631A8" w:rsidP="00587AF9">
            <w:pPr>
              <w:spacing w:before="40" w:line="276" w:lineRule="auto"/>
            </w:pPr>
            <w:r>
              <w:t xml:space="preserve">Das </w:t>
            </w:r>
            <w:r w:rsidR="00A30782">
              <w:t>führt dazu, dass sich in wärmeren Gewässern oben das wärmere Wasser und unten das kältere Wasser sammelt (</w:t>
            </w:r>
            <w:r w:rsidR="00A30782" w:rsidRPr="00D51A1E">
              <w:rPr>
                <w:i/>
              </w:rPr>
              <w:t>Erinnere dich ans Schwimmen im See</w:t>
            </w:r>
            <w:r w:rsidR="00A30782">
              <w:t xml:space="preserve">), während </w:t>
            </w:r>
            <w:r w:rsidR="00A30782">
              <w:lastRenderedPageBreak/>
              <w:t>bei Frost ein See oben zufriert</w:t>
            </w:r>
            <w:r>
              <w:t>,</w:t>
            </w:r>
            <w:r w:rsidR="00A30782">
              <w:t xml:space="preserve"> während er unter der Eisschicht noch flüssig (ca. 4 °C) ist</w:t>
            </w:r>
            <w:r>
              <w:t>.</w:t>
            </w:r>
          </w:p>
        </w:tc>
      </w:tr>
      <w:tr w:rsidR="00A30782" w14:paraId="4C20B7C9" w14:textId="77777777" w:rsidTr="002A5E7E">
        <w:tc>
          <w:tcPr>
            <w:tcW w:w="2547" w:type="dxa"/>
          </w:tcPr>
          <w:p w14:paraId="5CC5F3D0" w14:textId="33D513CA" w:rsidR="00A30782" w:rsidRDefault="00592695" w:rsidP="00587AF9">
            <w:pPr>
              <w:spacing w:before="40" w:line="276" w:lineRule="auto"/>
            </w:pPr>
            <w:r>
              <w:lastRenderedPageBreak/>
              <w:t>Kapazitäts</w:t>
            </w:r>
            <w:r w:rsidR="00AB0A5C">
              <w:t>grenze</w:t>
            </w:r>
          </w:p>
        </w:tc>
        <w:tc>
          <w:tcPr>
            <w:tcW w:w="6513" w:type="dxa"/>
          </w:tcPr>
          <w:p w14:paraId="31274F7A" w14:textId="07AE7EFE" w:rsidR="00A30782" w:rsidRDefault="00AB0A5C" w:rsidP="00587AF9">
            <w:pPr>
              <w:spacing w:before="40" w:line="276" w:lineRule="auto"/>
            </w:pPr>
            <w:r>
              <w:t>Sättigungskonzentration, dynamisches Gleichgewicht zwischen Flüssig- und Gasphase</w:t>
            </w:r>
          </w:p>
        </w:tc>
      </w:tr>
      <w:tr w:rsidR="00A30782" w14:paraId="18A8A769" w14:textId="77777777" w:rsidTr="002A5E7E">
        <w:tc>
          <w:tcPr>
            <w:tcW w:w="2547" w:type="dxa"/>
          </w:tcPr>
          <w:p w14:paraId="6FE886E9" w14:textId="77777777" w:rsidR="00A30782" w:rsidRDefault="00A30782" w:rsidP="00587AF9">
            <w:pPr>
              <w:spacing w:before="40" w:line="276" w:lineRule="auto"/>
            </w:pPr>
            <w:r>
              <w:t>spezifisches Volumen</w:t>
            </w:r>
          </w:p>
        </w:tc>
        <w:tc>
          <w:tcPr>
            <w:tcW w:w="6513" w:type="dxa"/>
          </w:tcPr>
          <w:p w14:paraId="468C8A76" w14:textId="77777777" w:rsidR="00A30782" w:rsidRDefault="00A30782" w:rsidP="00587AF9">
            <w:pPr>
              <w:spacing w:before="40" w:line="276" w:lineRule="auto"/>
            </w:pPr>
            <w:r>
              <w:t>Volumen pro Gewicht, physikalische Einheit: m</w:t>
            </w:r>
            <w:r w:rsidRPr="00A8400B">
              <w:rPr>
                <w:vertAlign w:val="superscript"/>
              </w:rPr>
              <w:t>3</w:t>
            </w:r>
            <w:r>
              <w:t>/kg, Stoffeigenschaft, Kehrwert von der Dichte</w:t>
            </w:r>
          </w:p>
        </w:tc>
      </w:tr>
      <w:tr w:rsidR="00A30782" w14:paraId="34E73037" w14:textId="77777777" w:rsidTr="002A5E7E">
        <w:tc>
          <w:tcPr>
            <w:tcW w:w="2547" w:type="dxa"/>
          </w:tcPr>
          <w:p w14:paraId="192B391E" w14:textId="77777777" w:rsidR="00A30782" w:rsidRDefault="00A30782" w:rsidP="00587AF9">
            <w:pPr>
              <w:spacing w:before="40" w:line="276" w:lineRule="auto"/>
            </w:pPr>
            <w:r>
              <w:t>temperaturabhängig</w:t>
            </w:r>
          </w:p>
        </w:tc>
        <w:tc>
          <w:tcPr>
            <w:tcW w:w="6513" w:type="dxa"/>
          </w:tcPr>
          <w:p w14:paraId="2A3B02CD" w14:textId="77777777" w:rsidR="00A30782" w:rsidRDefault="00A30782" w:rsidP="00587AF9">
            <w:pPr>
              <w:spacing w:before="40" w:line="276" w:lineRule="auto"/>
            </w:pPr>
            <w:r>
              <w:t>ist ein (physikalischer) Wert, der sich bei einer Veränderung der Temperatur ebenfalls ändert</w:t>
            </w:r>
          </w:p>
        </w:tc>
      </w:tr>
    </w:tbl>
    <w:p w14:paraId="71B0EDDB" w14:textId="77777777" w:rsidR="00A30782" w:rsidRDefault="00A30782" w:rsidP="00F769FA"/>
    <w:sectPr w:rsidR="00A30782" w:rsidSect="005631A8">
      <w:headerReference w:type="default" r:id="rId1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CC5F" w14:textId="77777777" w:rsidR="00F73A50" w:rsidRDefault="00F73A50" w:rsidP="00744AC0">
      <w:r>
        <w:separator/>
      </w:r>
    </w:p>
    <w:p w14:paraId="7FF001F2" w14:textId="77777777" w:rsidR="00831521" w:rsidRDefault="00831521"/>
  </w:endnote>
  <w:endnote w:type="continuationSeparator" w:id="0">
    <w:p w14:paraId="58A06DE8" w14:textId="77777777" w:rsidR="00F73A50" w:rsidRDefault="00F73A50" w:rsidP="00744AC0">
      <w:r>
        <w:continuationSeparator/>
      </w:r>
    </w:p>
    <w:p w14:paraId="1FAC538D" w14:textId="77777777" w:rsidR="00831521" w:rsidRDefault="00831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829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6D6D465A" w14:textId="77777777" w:rsidR="00BC0365" w:rsidRPr="00744AC0" w:rsidRDefault="00FD31E2">
        <w:pPr>
          <w:pStyle w:val="Fuzeile"/>
          <w:jc w:val="right"/>
          <w:rPr>
            <w:rFonts w:cs="Arial"/>
          </w:rPr>
        </w:pPr>
        <w:r w:rsidRPr="00744AC0">
          <w:rPr>
            <w:rFonts w:cs="Arial"/>
          </w:rPr>
          <w:fldChar w:fldCharType="begin"/>
        </w:r>
        <w:r w:rsidR="00BC0365" w:rsidRPr="00744AC0">
          <w:rPr>
            <w:rFonts w:cs="Arial"/>
          </w:rPr>
          <w:instrText>PAGE   \* MERGEFORMAT</w:instrText>
        </w:r>
        <w:r w:rsidRPr="00744AC0">
          <w:rPr>
            <w:rFonts w:cs="Arial"/>
          </w:rPr>
          <w:fldChar w:fldCharType="separate"/>
        </w:r>
        <w:r w:rsidR="00C520C6">
          <w:rPr>
            <w:rFonts w:cs="Arial"/>
            <w:noProof/>
          </w:rPr>
          <w:t>2</w:t>
        </w:r>
        <w:r w:rsidRPr="00744AC0">
          <w:rPr>
            <w:rFonts w:cs="Arial"/>
          </w:rPr>
          <w:fldChar w:fldCharType="end"/>
        </w:r>
      </w:p>
    </w:sdtContent>
  </w:sdt>
  <w:p w14:paraId="1430EE33" w14:textId="77777777" w:rsidR="00BC0365" w:rsidRDefault="00BC03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C86" w14:textId="661D175C" w:rsidR="00BC0365" w:rsidRDefault="00BC0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F0A5" w14:textId="77777777" w:rsidR="00F73A50" w:rsidRDefault="00F73A50" w:rsidP="00744AC0">
      <w:r>
        <w:separator/>
      </w:r>
    </w:p>
    <w:p w14:paraId="015688B8" w14:textId="77777777" w:rsidR="00831521" w:rsidRDefault="00831521"/>
  </w:footnote>
  <w:footnote w:type="continuationSeparator" w:id="0">
    <w:p w14:paraId="5E65F867" w14:textId="77777777" w:rsidR="00F73A50" w:rsidRDefault="00F73A50" w:rsidP="00744AC0">
      <w:r>
        <w:continuationSeparator/>
      </w:r>
    </w:p>
    <w:p w14:paraId="38832B20" w14:textId="77777777" w:rsidR="00831521" w:rsidRDefault="008315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D3CC" w14:textId="643B11BD" w:rsidR="00BC0365" w:rsidRDefault="000717B3" w:rsidP="00DA6CF5">
    <w:pPr>
      <w:pStyle w:val="Kopfzeile"/>
      <w:pBdr>
        <w:bottom w:val="single" w:sz="4" w:space="1" w:color="auto"/>
      </w:pBdr>
      <w:rPr>
        <w:noProof/>
      </w:rPr>
    </w:pPr>
    <w:r>
      <w:ptab w:relativeTo="margin" w:alignment="right" w:leader="none"/>
    </w:r>
    <w:sdt>
      <w:sdtPr>
        <w:id w:val="16274296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39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3159" w14:textId="22385867" w:rsidR="00831521" w:rsidRDefault="00082D47" w:rsidP="003B28B0">
    <w:pPr>
      <w:pStyle w:val="Kopfzeile"/>
      <w:pBdr>
        <w:bottom w:val="single" w:sz="4" w:space="1" w:color="auto"/>
      </w:pBdr>
      <w:rPr>
        <w:noProof/>
      </w:rPr>
    </w:pPr>
    <w:fldSimple w:instr=" STYLEREF  &quot;Überschrift 1&quot;  \* MERGEFORMAT ">
      <w:r w:rsidR="00C3390A">
        <w:rPr>
          <w:noProof/>
        </w:rPr>
        <w:t>Glossar</w:t>
      </w:r>
    </w:fldSimple>
    <w:r w:rsidR="007C586C">
      <w:ptab w:relativeTo="margin" w:alignment="right" w:leader="none"/>
    </w:r>
    <w:sdt>
      <w:sdtPr>
        <w:id w:val="1601523767"/>
        <w:docPartObj>
          <w:docPartGallery w:val="Page Numbers (Top of Page)"/>
          <w:docPartUnique/>
        </w:docPartObj>
      </w:sdtPr>
      <w:sdtEndPr/>
      <w:sdtContent>
        <w:r w:rsidR="00D541F3">
          <w:fldChar w:fldCharType="begin"/>
        </w:r>
        <w:r w:rsidR="00D541F3">
          <w:instrText>PAGE   \* MERGEFORMAT</w:instrText>
        </w:r>
        <w:r w:rsidR="00D541F3">
          <w:fldChar w:fldCharType="separate"/>
        </w:r>
        <w:r w:rsidR="00C3390A">
          <w:rPr>
            <w:noProof/>
          </w:rPr>
          <w:t>6</w:t>
        </w:r>
        <w:r w:rsidR="00D541F3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3A"/>
    <w:multiLevelType w:val="hybridMultilevel"/>
    <w:tmpl w:val="6958F4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0C52F7"/>
    <w:multiLevelType w:val="hybridMultilevel"/>
    <w:tmpl w:val="314E0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13C0"/>
    <w:multiLevelType w:val="multilevel"/>
    <w:tmpl w:val="FF8EB172"/>
    <w:numStyleLink w:val="Formatvorlage1"/>
  </w:abstractNum>
  <w:abstractNum w:abstractNumId="3" w15:restartNumberingAfterBreak="0">
    <w:nsid w:val="05507D18"/>
    <w:multiLevelType w:val="hybridMultilevel"/>
    <w:tmpl w:val="87CAE740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B317C"/>
    <w:multiLevelType w:val="hybridMultilevel"/>
    <w:tmpl w:val="426A33F4"/>
    <w:lvl w:ilvl="0" w:tplc="1C463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CDB"/>
    <w:multiLevelType w:val="hybridMultilevel"/>
    <w:tmpl w:val="BB9A9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65E0"/>
    <w:multiLevelType w:val="hybridMultilevel"/>
    <w:tmpl w:val="0534EE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95736"/>
    <w:multiLevelType w:val="hybridMultilevel"/>
    <w:tmpl w:val="0A8844B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05275"/>
    <w:multiLevelType w:val="multilevel"/>
    <w:tmpl w:val="0A8844B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106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CC7F7D"/>
    <w:multiLevelType w:val="hybridMultilevel"/>
    <w:tmpl w:val="5D2609E4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4407"/>
    <w:multiLevelType w:val="multilevel"/>
    <w:tmpl w:val="5AFCCAA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567EFA"/>
    <w:multiLevelType w:val="multilevel"/>
    <w:tmpl w:val="FF8EB1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5B3431"/>
    <w:multiLevelType w:val="multilevel"/>
    <w:tmpl w:val="E9BC77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71B3D"/>
    <w:multiLevelType w:val="multilevel"/>
    <w:tmpl w:val="FF8EB172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473555"/>
    <w:multiLevelType w:val="hybridMultilevel"/>
    <w:tmpl w:val="7AE2CBAA"/>
    <w:lvl w:ilvl="0" w:tplc="AF70D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64ADA"/>
    <w:multiLevelType w:val="hybridMultilevel"/>
    <w:tmpl w:val="A3126978"/>
    <w:lvl w:ilvl="0" w:tplc="8DA224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7FD0"/>
    <w:multiLevelType w:val="hybridMultilevel"/>
    <w:tmpl w:val="8B722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53CB"/>
    <w:multiLevelType w:val="hybridMultilevel"/>
    <w:tmpl w:val="E85A8252"/>
    <w:lvl w:ilvl="0" w:tplc="8DA224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737B62"/>
    <w:multiLevelType w:val="hybridMultilevel"/>
    <w:tmpl w:val="415E3EB2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42DE"/>
    <w:multiLevelType w:val="multilevel"/>
    <w:tmpl w:val="1196F0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68227A6"/>
    <w:multiLevelType w:val="hybridMultilevel"/>
    <w:tmpl w:val="8594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7389"/>
    <w:multiLevelType w:val="hybridMultilevel"/>
    <w:tmpl w:val="1CA8D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1AA3"/>
    <w:multiLevelType w:val="multilevel"/>
    <w:tmpl w:val="313C24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 w15:restartNumberingAfterBreak="0">
    <w:nsid w:val="4B6E0D72"/>
    <w:multiLevelType w:val="multilevel"/>
    <w:tmpl w:val="E28EE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117CB"/>
    <w:multiLevelType w:val="hybridMultilevel"/>
    <w:tmpl w:val="E9BC776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74622"/>
    <w:multiLevelType w:val="hybridMultilevel"/>
    <w:tmpl w:val="66043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5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E46DC9"/>
    <w:multiLevelType w:val="hybridMultilevel"/>
    <w:tmpl w:val="16CCF36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560828"/>
    <w:multiLevelType w:val="hybridMultilevel"/>
    <w:tmpl w:val="FF18DB06"/>
    <w:lvl w:ilvl="0" w:tplc="788C113E">
      <w:start w:val="1"/>
      <w:numFmt w:val="decimal"/>
      <w:lvlText w:val="%1a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00326F5"/>
    <w:multiLevelType w:val="hybridMultilevel"/>
    <w:tmpl w:val="42E85098"/>
    <w:lvl w:ilvl="0" w:tplc="0F18721E">
      <w:start w:val="1"/>
      <w:numFmt w:val="decimal"/>
      <w:lvlText w:val="%1a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3FB4DA2"/>
    <w:multiLevelType w:val="multilevel"/>
    <w:tmpl w:val="4DE478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495ACB"/>
    <w:multiLevelType w:val="hybridMultilevel"/>
    <w:tmpl w:val="BE8232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0559B6"/>
    <w:multiLevelType w:val="hybridMultilevel"/>
    <w:tmpl w:val="B434A9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A447F"/>
    <w:multiLevelType w:val="hybridMultilevel"/>
    <w:tmpl w:val="22580E4A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6709"/>
    <w:multiLevelType w:val="hybridMultilevel"/>
    <w:tmpl w:val="0A7A2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41526"/>
    <w:multiLevelType w:val="hybridMultilevel"/>
    <w:tmpl w:val="26C0E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6"/>
  </w:num>
  <w:num w:numId="5">
    <w:abstractNumId w:val="19"/>
  </w:num>
  <w:num w:numId="6">
    <w:abstractNumId w:val="25"/>
  </w:num>
  <w:num w:numId="7">
    <w:abstractNumId w:val="13"/>
  </w:num>
  <w:num w:numId="8">
    <w:abstractNumId w:val="33"/>
  </w:num>
  <w:num w:numId="9">
    <w:abstractNumId w:val="3"/>
  </w:num>
  <w:num w:numId="10">
    <w:abstractNumId w:val="10"/>
  </w:num>
  <w:num w:numId="11">
    <w:abstractNumId w:val="0"/>
  </w:num>
  <w:num w:numId="12">
    <w:abstractNumId w:val="17"/>
  </w:num>
  <w:num w:numId="13">
    <w:abstractNumId w:val="26"/>
  </w:num>
  <w:num w:numId="14">
    <w:abstractNumId w:val="22"/>
  </w:num>
  <w:num w:numId="15">
    <w:abstractNumId w:val="35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12"/>
  </w:num>
  <w:num w:numId="21">
    <w:abstractNumId w:val="27"/>
  </w:num>
  <w:num w:numId="22">
    <w:abstractNumId w:val="9"/>
  </w:num>
  <w:num w:numId="23">
    <w:abstractNumId w:val="4"/>
  </w:num>
  <w:num w:numId="24">
    <w:abstractNumId w:val="20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6">
    <w:abstractNumId w:val="18"/>
  </w:num>
  <w:num w:numId="27">
    <w:abstractNumId w:val="34"/>
  </w:num>
  <w:num w:numId="28">
    <w:abstractNumId w:val="5"/>
  </w:num>
  <w:num w:numId="29">
    <w:abstractNumId w:val="15"/>
  </w:num>
  <w:num w:numId="30">
    <w:abstractNumId w:val="21"/>
  </w:num>
  <w:num w:numId="31">
    <w:abstractNumId w:val="36"/>
  </w:num>
  <w:num w:numId="32">
    <w:abstractNumId w:val="28"/>
  </w:num>
  <w:num w:numId="33">
    <w:abstractNumId w:val="32"/>
  </w:num>
  <w:num w:numId="34">
    <w:abstractNumId w:val="23"/>
  </w:num>
  <w:num w:numId="35">
    <w:abstractNumId w:val="16"/>
  </w:num>
  <w:num w:numId="36">
    <w:abstractNumId w:val="29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1"/>
    <w:rsid w:val="00022D16"/>
    <w:rsid w:val="00031BA6"/>
    <w:rsid w:val="00053B5F"/>
    <w:rsid w:val="00056DC9"/>
    <w:rsid w:val="000717B3"/>
    <w:rsid w:val="00075B38"/>
    <w:rsid w:val="00080B55"/>
    <w:rsid w:val="00082D47"/>
    <w:rsid w:val="00083F8C"/>
    <w:rsid w:val="000A08B3"/>
    <w:rsid w:val="000A2D98"/>
    <w:rsid w:val="000B70B6"/>
    <w:rsid w:val="000C1F4F"/>
    <w:rsid w:val="000C2500"/>
    <w:rsid w:val="000D415A"/>
    <w:rsid w:val="000E09C6"/>
    <w:rsid w:val="001115A8"/>
    <w:rsid w:val="00125A37"/>
    <w:rsid w:val="001537BE"/>
    <w:rsid w:val="0016717C"/>
    <w:rsid w:val="001743C1"/>
    <w:rsid w:val="0018028C"/>
    <w:rsid w:val="00195E5F"/>
    <w:rsid w:val="001B34A0"/>
    <w:rsid w:val="001B5DBB"/>
    <w:rsid w:val="001C4287"/>
    <w:rsid w:val="0021666D"/>
    <w:rsid w:val="00223C91"/>
    <w:rsid w:val="00250C64"/>
    <w:rsid w:val="00261764"/>
    <w:rsid w:val="00280669"/>
    <w:rsid w:val="002952D6"/>
    <w:rsid w:val="002A6ECF"/>
    <w:rsid w:val="002C09D5"/>
    <w:rsid w:val="002C4CDB"/>
    <w:rsid w:val="002D3932"/>
    <w:rsid w:val="002D737F"/>
    <w:rsid w:val="002E3B5C"/>
    <w:rsid w:val="002E6206"/>
    <w:rsid w:val="003075DF"/>
    <w:rsid w:val="00310994"/>
    <w:rsid w:val="003248D8"/>
    <w:rsid w:val="00325216"/>
    <w:rsid w:val="00326622"/>
    <w:rsid w:val="00326CF8"/>
    <w:rsid w:val="00330272"/>
    <w:rsid w:val="00334FC7"/>
    <w:rsid w:val="00337E54"/>
    <w:rsid w:val="00341458"/>
    <w:rsid w:val="00346B04"/>
    <w:rsid w:val="00362BBD"/>
    <w:rsid w:val="00365737"/>
    <w:rsid w:val="003862E2"/>
    <w:rsid w:val="003863E5"/>
    <w:rsid w:val="00386803"/>
    <w:rsid w:val="00391431"/>
    <w:rsid w:val="00396DA8"/>
    <w:rsid w:val="003B28B0"/>
    <w:rsid w:val="00425E00"/>
    <w:rsid w:val="00436ECD"/>
    <w:rsid w:val="00436FE9"/>
    <w:rsid w:val="0045503C"/>
    <w:rsid w:val="0045781C"/>
    <w:rsid w:val="00463985"/>
    <w:rsid w:val="00466E67"/>
    <w:rsid w:val="004834BC"/>
    <w:rsid w:val="004A7E32"/>
    <w:rsid w:val="004B6BAA"/>
    <w:rsid w:val="004D242D"/>
    <w:rsid w:val="004D3C5D"/>
    <w:rsid w:val="004E068B"/>
    <w:rsid w:val="004E7D1D"/>
    <w:rsid w:val="004F48B0"/>
    <w:rsid w:val="005027E9"/>
    <w:rsid w:val="0051566F"/>
    <w:rsid w:val="005266D4"/>
    <w:rsid w:val="005524BC"/>
    <w:rsid w:val="00555F5D"/>
    <w:rsid w:val="005566BA"/>
    <w:rsid w:val="0056249C"/>
    <w:rsid w:val="005631A8"/>
    <w:rsid w:val="0056781D"/>
    <w:rsid w:val="005860AD"/>
    <w:rsid w:val="00587AF9"/>
    <w:rsid w:val="00592695"/>
    <w:rsid w:val="005C2391"/>
    <w:rsid w:val="005D6409"/>
    <w:rsid w:val="005E315D"/>
    <w:rsid w:val="005F24F7"/>
    <w:rsid w:val="005F5762"/>
    <w:rsid w:val="0061196C"/>
    <w:rsid w:val="00614469"/>
    <w:rsid w:val="006217BE"/>
    <w:rsid w:val="00624D13"/>
    <w:rsid w:val="00662698"/>
    <w:rsid w:val="006A639B"/>
    <w:rsid w:val="006B32A6"/>
    <w:rsid w:val="006C76A5"/>
    <w:rsid w:val="006D0009"/>
    <w:rsid w:val="006D264B"/>
    <w:rsid w:val="006E493D"/>
    <w:rsid w:val="006F15AE"/>
    <w:rsid w:val="006F746A"/>
    <w:rsid w:val="006F7823"/>
    <w:rsid w:val="00724B7C"/>
    <w:rsid w:val="00727C43"/>
    <w:rsid w:val="00744AC0"/>
    <w:rsid w:val="007962EA"/>
    <w:rsid w:val="007A0F57"/>
    <w:rsid w:val="007A668A"/>
    <w:rsid w:val="007A669B"/>
    <w:rsid w:val="007B1A38"/>
    <w:rsid w:val="007C41C0"/>
    <w:rsid w:val="007C586C"/>
    <w:rsid w:val="007C5A39"/>
    <w:rsid w:val="007C6670"/>
    <w:rsid w:val="007D189C"/>
    <w:rsid w:val="007D35F6"/>
    <w:rsid w:val="007D5166"/>
    <w:rsid w:val="007D77FB"/>
    <w:rsid w:val="007F6D2C"/>
    <w:rsid w:val="00814948"/>
    <w:rsid w:val="00820FD4"/>
    <w:rsid w:val="00821C8C"/>
    <w:rsid w:val="00831521"/>
    <w:rsid w:val="00870B62"/>
    <w:rsid w:val="00874152"/>
    <w:rsid w:val="008834A4"/>
    <w:rsid w:val="008A0893"/>
    <w:rsid w:val="008B7035"/>
    <w:rsid w:val="008F47AF"/>
    <w:rsid w:val="00926F94"/>
    <w:rsid w:val="00933F66"/>
    <w:rsid w:val="009429C5"/>
    <w:rsid w:val="00981615"/>
    <w:rsid w:val="00984CD5"/>
    <w:rsid w:val="009C0254"/>
    <w:rsid w:val="009D270D"/>
    <w:rsid w:val="009F2D34"/>
    <w:rsid w:val="00A0267C"/>
    <w:rsid w:val="00A06966"/>
    <w:rsid w:val="00A2688F"/>
    <w:rsid w:val="00A30782"/>
    <w:rsid w:val="00A3257B"/>
    <w:rsid w:val="00A33349"/>
    <w:rsid w:val="00A41F0E"/>
    <w:rsid w:val="00A60830"/>
    <w:rsid w:val="00A61520"/>
    <w:rsid w:val="00A803EC"/>
    <w:rsid w:val="00A824E4"/>
    <w:rsid w:val="00A9132D"/>
    <w:rsid w:val="00AA1BC3"/>
    <w:rsid w:val="00AA308E"/>
    <w:rsid w:val="00AB0A5C"/>
    <w:rsid w:val="00AC4772"/>
    <w:rsid w:val="00AD12D5"/>
    <w:rsid w:val="00AE5430"/>
    <w:rsid w:val="00AE6EB5"/>
    <w:rsid w:val="00AF050B"/>
    <w:rsid w:val="00B06A83"/>
    <w:rsid w:val="00B121F5"/>
    <w:rsid w:val="00B1526B"/>
    <w:rsid w:val="00B64E97"/>
    <w:rsid w:val="00B671A0"/>
    <w:rsid w:val="00B96C99"/>
    <w:rsid w:val="00BA01CC"/>
    <w:rsid w:val="00BC0365"/>
    <w:rsid w:val="00C02D35"/>
    <w:rsid w:val="00C07C5C"/>
    <w:rsid w:val="00C108BC"/>
    <w:rsid w:val="00C25BF0"/>
    <w:rsid w:val="00C3239F"/>
    <w:rsid w:val="00C32790"/>
    <w:rsid w:val="00C33487"/>
    <w:rsid w:val="00C3390A"/>
    <w:rsid w:val="00C33961"/>
    <w:rsid w:val="00C424DE"/>
    <w:rsid w:val="00C440F0"/>
    <w:rsid w:val="00C442A5"/>
    <w:rsid w:val="00C444F6"/>
    <w:rsid w:val="00C520C6"/>
    <w:rsid w:val="00C52AAE"/>
    <w:rsid w:val="00C5701A"/>
    <w:rsid w:val="00C60381"/>
    <w:rsid w:val="00C64074"/>
    <w:rsid w:val="00C8319D"/>
    <w:rsid w:val="00CF0F57"/>
    <w:rsid w:val="00D00B8D"/>
    <w:rsid w:val="00D37394"/>
    <w:rsid w:val="00D37EB2"/>
    <w:rsid w:val="00D528BE"/>
    <w:rsid w:val="00D541F3"/>
    <w:rsid w:val="00D83EA1"/>
    <w:rsid w:val="00D84AA0"/>
    <w:rsid w:val="00D84FD0"/>
    <w:rsid w:val="00D874AC"/>
    <w:rsid w:val="00D91D8B"/>
    <w:rsid w:val="00DA0337"/>
    <w:rsid w:val="00DA6CF5"/>
    <w:rsid w:val="00DC2C92"/>
    <w:rsid w:val="00DE09E3"/>
    <w:rsid w:val="00DE4E89"/>
    <w:rsid w:val="00DF1DC3"/>
    <w:rsid w:val="00E11C50"/>
    <w:rsid w:val="00E12117"/>
    <w:rsid w:val="00E26DB4"/>
    <w:rsid w:val="00E27AB6"/>
    <w:rsid w:val="00E33BEC"/>
    <w:rsid w:val="00E44791"/>
    <w:rsid w:val="00E557AF"/>
    <w:rsid w:val="00E757D2"/>
    <w:rsid w:val="00EA1DCD"/>
    <w:rsid w:val="00EA4E8D"/>
    <w:rsid w:val="00EC61A7"/>
    <w:rsid w:val="00EC7F96"/>
    <w:rsid w:val="00ED2704"/>
    <w:rsid w:val="00EE4486"/>
    <w:rsid w:val="00F01624"/>
    <w:rsid w:val="00F079D2"/>
    <w:rsid w:val="00F32FC7"/>
    <w:rsid w:val="00F338E5"/>
    <w:rsid w:val="00F35F31"/>
    <w:rsid w:val="00F479EE"/>
    <w:rsid w:val="00F54840"/>
    <w:rsid w:val="00F66B6E"/>
    <w:rsid w:val="00F73A50"/>
    <w:rsid w:val="00F769FA"/>
    <w:rsid w:val="00F77749"/>
    <w:rsid w:val="00F856D0"/>
    <w:rsid w:val="00FB0A53"/>
    <w:rsid w:val="00FC5F8A"/>
    <w:rsid w:val="00FD31E2"/>
    <w:rsid w:val="00FD3DA5"/>
    <w:rsid w:val="00FD6E9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ABA87A"/>
  <w15:docId w15:val="{8758969C-AB83-4CB7-BD19-91FD2DE3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70D"/>
    <w:pPr>
      <w:spacing w:line="312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337E54"/>
    <w:pPr>
      <w:numPr>
        <w:numId w:val="38"/>
      </w:numPr>
      <w:spacing w:before="600" w:after="240" w:line="276" w:lineRule="auto"/>
      <w:outlineLvl w:val="0"/>
    </w:pPr>
    <w:rPr>
      <w:rFonts w:eastAsiaTheme="majorEastAsia"/>
      <w:b/>
      <w:bCs/>
      <w:kern w:val="36"/>
      <w:sz w:val="32"/>
      <w:szCs w:val="48"/>
      <w:lang w:eastAsia="en-US"/>
    </w:rPr>
  </w:style>
  <w:style w:type="paragraph" w:styleId="berschrift2">
    <w:name w:val="heading 2"/>
    <w:basedOn w:val="berschrift20"/>
    <w:next w:val="berschrift20"/>
    <w:link w:val="berschrift2Zchn"/>
    <w:uiPriority w:val="9"/>
    <w:unhideWhenUsed/>
    <w:qFormat/>
    <w:rsid w:val="00C3239F"/>
    <w:pPr>
      <w:numPr>
        <w:ilvl w:val="1"/>
        <w:numId w:val="38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409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2EA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62EA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62EA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62EA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62EA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62EA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1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337E54"/>
    <w:rPr>
      <w:rFonts w:ascii="Arial" w:eastAsiaTheme="majorEastAsia" w:hAnsi="Arial"/>
      <w:b/>
      <w:bCs/>
      <w:kern w:val="36"/>
      <w:sz w:val="32"/>
      <w:szCs w:val="48"/>
      <w:lang w:eastAsia="en-US"/>
    </w:rPr>
  </w:style>
  <w:style w:type="table" w:styleId="Tabellenraster">
    <w:name w:val="Table Grid"/>
    <w:basedOn w:val="NormaleTabelle"/>
    <w:uiPriority w:val="59"/>
    <w:rsid w:val="00ED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9816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basedOn w:val="Absatz-Standardschriftart"/>
    <w:uiPriority w:val="99"/>
    <w:semiHidden/>
    <w:rsid w:val="0046398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4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46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46A"/>
    <w:rPr>
      <w:b/>
      <w:bCs/>
    </w:rPr>
  </w:style>
  <w:style w:type="paragraph" w:styleId="Listenabsatz">
    <w:name w:val="List Paragraph"/>
    <w:basedOn w:val="Standard"/>
    <w:uiPriority w:val="34"/>
    <w:qFormat/>
    <w:rsid w:val="003914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AC0"/>
  </w:style>
  <w:style w:type="paragraph" w:styleId="Fuzeile">
    <w:name w:val="footer"/>
    <w:basedOn w:val="Standard"/>
    <w:link w:val="Fu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AC0"/>
  </w:style>
  <w:style w:type="paragraph" w:styleId="NurText">
    <w:name w:val="Plain Text"/>
    <w:basedOn w:val="Standard"/>
    <w:link w:val="NurTextZchn"/>
    <w:uiPriority w:val="99"/>
    <w:unhideWhenUsed/>
    <w:rsid w:val="00326CF8"/>
    <w:rPr>
      <w:rFonts w:eastAsiaTheme="minorHAnsi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326CF8"/>
    <w:rPr>
      <w:rFonts w:ascii="Arial" w:eastAsiaTheme="minorHAnsi" w:hAnsi="Arial" w:cs="Arial"/>
      <w:sz w:val="22"/>
      <w:szCs w:val="22"/>
    </w:rPr>
  </w:style>
  <w:style w:type="numbering" w:customStyle="1" w:styleId="Formatvorlage1">
    <w:name w:val="Formatvorlage1"/>
    <w:uiPriority w:val="99"/>
    <w:rsid w:val="00083F8C"/>
    <w:pPr>
      <w:numPr>
        <w:numId w:val="19"/>
      </w:numPr>
    </w:pPr>
  </w:style>
  <w:style w:type="paragraph" w:customStyle="1" w:styleId="berschrift20">
    <w:name w:val="Überschrift 2."/>
    <w:basedOn w:val="berschrift1"/>
    <w:link w:val="berschrift2Zchn0"/>
    <w:rsid w:val="001115A8"/>
    <w:pPr>
      <w:numPr>
        <w:numId w:val="0"/>
      </w:numPr>
      <w:ind w:left="576" w:hanging="576"/>
    </w:pPr>
  </w:style>
  <w:style w:type="paragraph" w:styleId="Titel">
    <w:name w:val="Title"/>
    <w:basedOn w:val="Standard"/>
    <w:next w:val="Standard"/>
    <w:link w:val="TitelZchn"/>
    <w:uiPriority w:val="10"/>
    <w:qFormat/>
    <w:rsid w:val="00111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0">
    <w:name w:val="Überschrift 2. Zchn"/>
    <w:basedOn w:val="berschrift1Zchn"/>
    <w:link w:val="berschrift20"/>
    <w:rsid w:val="001115A8"/>
    <w:rPr>
      <w:rFonts w:ascii="Arial" w:eastAsiaTheme="majorEastAsia" w:hAnsi="Arial"/>
      <w:b/>
      <w:bCs/>
      <w:kern w:val="36"/>
      <w:sz w:val="32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11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239F"/>
    <w:rPr>
      <w:rFonts w:ascii="Arial" w:eastAsiaTheme="majorEastAsia" w:hAnsi="Arial"/>
      <w:b/>
      <w:bCs/>
      <w:kern w:val="36"/>
      <w:sz w:val="28"/>
      <w:szCs w:val="4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7E54"/>
    <w:pPr>
      <w:keepNext/>
      <w:keepLines/>
      <w:numPr>
        <w:numId w:val="0"/>
      </w:numPr>
      <w:spacing w:before="480" w:after="0"/>
      <w:outlineLvl w:val="9"/>
    </w:pPr>
    <w:rPr>
      <w:rFonts w:cs="Arial"/>
      <w:kern w:val="0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A1DC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A1DCD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EA1DC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D270D"/>
    <w:pPr>
      <w:spacing w:before="120" w:after="240"/>
    </w:pPr>
    <w:rPr>
      <w:b/>
      <w:bCs/>
      <w:sz w:val="22"/>
      <w:szCs w:val="18"/>
    </w:rPr>
  </w:style>
  <w:style w:type="paragraph" w:customStyle="1" w:styleId="BeschriftungTabelle">
    <w:name w:val="Beschriftung Tabelle"/>
    <w:basedOn w:val="Beschriftung"/>
    <w:link w:val="BeschriftungTabelleZchn"/>
    <w:qFormat/>
    <w:rsid w:val="006D0009"/>
    <w:pPr>
      <w:keepNext/>
      <w:spacing w:before="240" w:after="0"/>
    </w:pPr>
  </w:style>
  <w:style w:type="character" w:customStyle="1" w:styleId="BeschriftungZchn">
    <w:name w:val="Beschriftung Zchn"/>
    <w:basedOn w:val="Absatz-Standardschriftart"/>
    <w:link w:val="Beschriftung"/>
    <w:uiPriority w:val="35"/>
    <w:rsid w:val="009D270D"/>
    <w:rPr>
      <w:rFonts w:ascii="Arial" w:hAnsi="Arial"/>
      <w:b/>
      <w:bCs/>
      <w:sz w:val="22"/>
      <w:szCs w:val="18"/>
    </w:rPr>
  </w:style>
  <w:style w:type="character" w:customStyle="1" w:styleId="BeschriftungTabelleZchn">
    <w:name w:val="Beschriftung Tabelle Zchn"/>
    <w:basedOn w:val="BeschriftungZchn"/>
    <w:link w:val="BeschriftungTabelle"/>
    <w:rsid w:val="006D0009"/>
    <w:rPr>
      <w:rFonts w:ascii="Arial" w:hAnsi="Arial"/>
      <w:b/>
      <w:bCs/>
      <w:sz w:val="22"/>
      <w:szCs w:val="18"/>
    </w:rPr>
  </w:style>
  <w:style w:type="character" w:customStyle="1" w:styleId="cwcot">
    <w:name w:val="cwcot"/>
    <w:basedOn w:val="Absatz-Standardschriftart"/>
    <w:rsid w:val="0061196C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4E89"/>
    <w:pPr>
      <w:spacing w:line="240" w:lineRule="auto"/>
    </w:pPr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4E89"/>
    <w:rPr>
      <w:sz w:val="24"/>
      <w:szCs w:val="24"/>
    </w:rPr>
  </w:style>
  <w:style w:type="paragraph" w:styleId="berarbeitung">
    <w:name w:val="Revision"/>
    <w:hidden/>
    <w:uiPriority w:val="99"/>
    <w:semiHidden/>
    <w:rsid w:val="00D84AA0"/>
    <w:rPr>
      <w:rFonts w:ascii="Arial" w:hAnsi="Arial"/>
      <w:sz w:val="24"/>
    </w:rPr>
  </w:style>
  <w:style w:type="paragraph" w:styleId="KeinLeerraum">
    <w:name w:val="No Spacing"/>
    <w:uiPriority w:val="1"/>
    <w:qFormat/>
    <w:rsid w:val="001537BE"/>
    <w:rPr>
      <w:rFonts w:ascii="Arial" w:hAnsi="Arial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62E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62E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62E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62E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6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6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-server\E2\20_Forschung\Energiewende%20macht%20Schule\Modul%206%20Lehrerworkshops\Arbeitsbl&#228;tter%20LehrerSch&#252;ler\L&#246;slichkeit_CO2_Dia_ne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-server\E2\20_Forschung\Energiewende%20macht%20Schule\Modul%206%20Lehrerworkshops\Arbeitsbl&#228;tter%20LehrerSch&#252;ler\L&#246;slichkeit_CO2_Dia_neu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Löslichkeit von Kohlenstoffdioxid in Wasser bei Normaldruck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Löslichkeit in mg/l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Tabelle1!$A$2:$A$5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xVal>
          <c:yVal>
            <c:numRef>
              <c:f>Tabelle1!$B$2:$B$5</c:f>
              <c:numCache>
                <c:formatCode>General</c:formatCode>
                <c:ptCount val="4"/>
                <c:pt idx="0">
                  <c:v>1.0049999999999999</c:v>
                </c:pt>
                <c:pt idx="1">
                  <c:v>0.7</c:v>
                </c:pt>
                <c:pt idx="2">
                  <c:v>0.51</c:v>
                </c:pt>
                <c:pt idx="3">
                  <c:v>0.38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D8-42A7-A3C7-6C0E0AA38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931160"/>
        <c:axId val="412929520"/>
      </c:scatterChart>
      <c:valAx>
        <c:axId val="412931160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/>
                  <a:t>Temperatur in °C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412929520"/>
        <c:crosses val="autoZero"/>
        <c:crossBetween val="midCat"/>
      </c:valAx>
      <c:valAx>
        <c:axId val="41292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/>
                  <a:t>Löslichkeit in mg/l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412931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Löslichkeit von Kohlenstoffdioxid in Wasser bei Normaldruck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Löslichkeit in mg/l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Tabelle1!$A$2:$A$5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xVal>
          <c:yVal>
            <c:numRef>
              <c:f>Tabelle1!$B$2:$B$5</c:f>
              <c:numCache>
                <c:formatCode>General</c:formatCode>
                <c:ptCount val="4"/>
                <c:pt idx="0">
                  <c:v>1.0049999999999999</c:v>
                </c:pt>
                <c:pt idx="1">
                  <c:v>0.7</c:v>
                </c:pt>
                <c:pt idx="2">
                  <c:v>0.51</c:v>
                </c:pt>
                <c:pt idx="3">
                  <c:v>0.38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A7D-4E2F-880B-84EEDCF8B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931160"/>
        <c:axId val="412929520"/>
      </c:scatterChart>
      <c:valAx>
        <c:axId val="412931160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/>
                  <a:t>Temperatur in °C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412929520"/>
        <c:crosses val="autoZero"/>
        <c:crossBetween val="midCat"/>
      </c:valAx>
      <c:valAx>
        <c:axId val="41292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/>
                  <a:t>Löslichkeit in mg/l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4129311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A4BD-4498-47D6-B6DE-063E07D2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 2008</vt:lpstr>
    </vt:vector>
  </TitlesOfParts>
  <Company>.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2008</dc:title>
  <dc:creator>Adam</dc:creator>
  <cp:lastModifiedBy>Annemarie Bruns</cp:lastModifiedBy>
  <cp:revision>6</cp:revision>
  <cp:lastPrinted>2015-04-25T17:09:00Z</cp:lastPrinted>
  <dcterms:created xsi:type="dcterms:W3CDTF">2016-11-04T09:03:00Z</dcterms:created>
  <dcterms:modified xsi:type="dcterms:W3CDTF">2016-11-10T08:11:00Z</dcterms:modified>
</cp:coreProperties>
</file>